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3C190E6" w:rsidR="00EA38C5" w:rsidRPr="006243E8" w:rsidRDefault="00544C5F" w:rsidP="00025C1E">
      <w:pPr>
        <w:jc w:val="center"/>
        <w:rPr>
          <w:sz w:val="48"/>
          <w:szCs w:val="160"/>
        </w:rPr>
      </w:pPr>
      <w:r w:rsidRPr="006243E8">
        <w:rPr>
          <w:sz w:val="48"/>
          <w:szCs w:val="160"/>
        </w:rPr>
        <w:t>BBCC Annual Assessment Report 2</w:t>
      </w:r>
      <w:r w:rsidR="00867411">
        <w:rPr>
          <w:sz w:val="48"/>
          <w:szCs w:val="160"/>
        </w:rPr>
        <w:t>4</w:t>
      </w:r>
      <w:r w:rsidRPr="006243E8">
        <w:rPr>
          <w:sz w:val="48"/>
          <w:szCs w:val="160"/>
        </w:rPr>
        <w:t>-2</w:t>
      </w:r>
      <w:r w:rsidR="00867411">
        <w:rPr>
          <w:sz w:val="48"/>
          <w:szCs w:val="160"/>
        </w:rPr>
        <w:t>5</w:t>
      </w:r>
    </w:p>
    <w:p w14:paraId="7EBA54D3" w14:textId="77777777" w:rsidR="00C4317E" w:rsidRPr="00025C1E" w:rsidRDefault="00025C1E" w:rsidP="00025C1E">
      <w:r w:rsidRPr="00025C1E">
        <w:t>‌</w:t>
      </w:r>
    </w:p>
    <w:sdt>
      <w:sdtPr>
        <w:rPr>
          <w:rFonts w:asciiTheme="minorHAnsi" w:eastAsiaTheme="minorEastAsia" w:hAnsiTheme="minorHAnsi" w:cstheme="minorBidi"/>
          <w:color w:val="auto"/>
          <w:sz w:val="24"/>
          <w:szCs w:val="24"/>
          <w:lang w:eastAsia="ja-JP"/>
        </w:rPr>
        <w:id w:val="-1528791783"/>
        <w:docPartObj>
          <w:docPartGallery w:val="Table of Contents"/>
          <w:docPartUnique/>
        </w:docPartObj>
      </w:sdtPr>
      <w:sdtEndPr>
        <w:rPr>
          <w:b/>
          <w:bCs/>
          <w:noProof/>
        </w:rPr>
      </w:sdtEndPr>
      <w:sdtContent>
        <w:p w14:paraId="4D5510CC" w14:textId="3019376F" w:rsidR="00C4317E" w:rsidRDefault="00C4317E">
          <w:pPr>
            <w:pStyle w:val="TOCHeading"/>
          </w:pPr>
          <w:r>
            <w:t>Contents</w:t>
          </w:r>
        </w:p>
        <w:p w14:paraId="42DC1883" w14:textId="20A73861" w:rsidR="00B64E8D" w:rsidRDefault="00C4317E">
          <w:pPr>
            <w:pStyle w:val="TOC1"/>
            <w:tabs>
              <w:tab w:val="right" w:leader="dot" w:pos="9350"/>
            </w:tabs>
            <w:rPr>
              <w:noProof/>
              <w:kern w:val="2"/>
              <w:sz w:val="22"/>
              <w:szCs w:val="22"/>
              <w:lang w:eastAsia="en-US"/>
              <w14:ligatures w14:val="standardContextual"/>
            </w:rPr>
          </w:pPr>
          <w:r>
            <w:fldChar w:fldCharType="begin"/>
          </w:r>
          <w:r>
            <w:instrText xml:space="preserve"> TOC \o "1-3" \h \z \u </w:instrText>
          </w:r>
          <w:r>
            <w:fldChar w:fldCharType="separate"/>
          </w:r>
          <w:hyperlink w:anchor="_Toc207793306" w:history="1">
            <w:r w:rsidR="00B64E8D" w:rsidRPr="00C17D14">
              <w:rPr>
                <w:rStyle w:val="Hyperlink"/>
                <w:noProof/>
              </w:rPr>
              <w:t>Introduction</w:t>
            </w:r>
            <w:r w:rsidR="00B64E8D">
              <w:rPr>
                <w:noProof/>
                <w:webHidden/>
              </w:rPr>
              <w:tab/>
            </w:r>
            <w:r w:rsidR="00B64E8D">
              <w:rPr>
                <w:noProof/>
                <w:webHidden/>
              </w:rPr>
              <w:fldChar w:fldCharType="begin"/>
            </w:r>
            <w:r w:rsidR="00B64E8D">
              <w:rPr>
                <w:noProof/>
                <w:webHidden/>
              </w:rPr>
              <w:instrText xml:space="preserve"> PAGEREF _Toc207793306 \h </w:instrText>
            </w:r>
            <w:r w:rsidR="00B64E8D">
              <w:rPr>
                <w:noProof/>
                <w:webHidden/>
              </w:rPr>
            </w:r>
            <w:r w:rsidR="00B64E8D">
              <w:rPr>
                <w:noProof/>
                <w:webHidden/>
              </w:rPr>
              <w:fldChar w:fldCharType="separate"/>
            </w:r>
            <w:r w:rsidR="00B64E8D">
              <w:rPr>
                <w:noProof/>
                <w:webHidden/>
              </w:rPr>
              <w:t>2</w:t>
            </w:r>
            <w:r w:rsidR="00B64E8D">
              <w:rPr>
                <w:noProof/>
                <w:webHidden/>
              </w:rPr>
              <w:fldChar w:fldCharType="end"/>
            </w:r>
          </w:hyperlink>
        </w:p>
        <w:p w14:paraId="10A532C2" w14:textId="2F1DB144" w:rsidR="00B64E8D" w:rsidRDefault="00B64E8D">
          <w:pPr>
            <w:pStyle w:val="TOC2"/>
            <w:tabs>
              <w:tab w:val="right" w:leader="dot" w:pos="9350"/>
            </w:tabs>
            <w:rPr>
              <w:noProof/>
              <w:kern w:val="2"/>
              <w:sz w:val="22"/>
              <w:szCs w:val="22"/>
              <w:lang w:eastAsia="en-US"/>
              <w14:ligatures w14:val="standardContextual"/>
            </w:rPr>
          </w:pPr>
          <w:hyperlink w:anchor="_Toc207793307" w:history="1">
            <w:r w:rsidRPr="00C17D14">
              <w:rPr>
                <w:rStyle w:val="Hyperlink"/>
                <w:noProof/>
              </w:rPr>
              <w:t>Current focus and understanding of assessment</w:t>
            </w:r>
            <w:r>
              <w:rPr>
                <w:noProof/>
                <w:webHidden/>
              </w:rPr>
              <w:tab/>
            </w:r>
            <w:r>
              <w:rPr>
                <w:noProof/>
                <w:webHidden/>
              </w:rPr>
              <w:fldChar w:fldCharType="begin"/>
            </w:r>
            <w:r>
              <w:rPr>
                <w:noProof/>
                <w:webHidden/>
              </w:rPr>
              <w:instrText xml:space="preserve"> PAGEREF _Toc207793307 \h </w:instrText>
            </w:r>
            <w:r>
              <w:rPr>
                <w:noProof/>
                <w:webHidden/>
              </w:rPr>
            </w:r>
            <w:r>
              <w:rPr>
                <w:noProof/>
                <w:webHidden/>
              </w:rPr>
              <w:fldChar w:fldCharType="separate"/>
            </w:r>
            <w:r>
              <w:rPr>
                <w:noProof/>
                <w:webHidden/>
              </w:rPr>
              <w:t>2</w:t>
            </w:r>
            <w:r>
              <w:rPr>
                <w:noProof/>
                <w:webHidden/>
              </w:rPr>
              <w:fldChar w:fldCharType="end"/>
            </w:r>
          </w:hyperlink>
        </w:p>
        <w:p w14:paraId="2C98F5CC" w14:textId="6F203F62" w:rsidR="00B64E8D" w:rsidRDefault="00B64E8D">
          <w:pPr>
            <w:pStyle w:val="TOC2"/>
            <w:tabs>
              <w:tab w:val="right" w:leader="dot" w:pos="9350"/>
            </w:tabs>
            <w:rPr>
              <w:noProof/>
              <w:kern w:val="2"/>
              <w:sz w:val="22"/>
              <w:szCs w:val="22"/>
              <w:lang w:eastAsia="en-US"/>
              <w14:ligatures w14:val="standardContextual"/>
            </w:rPr>
          </w:pPr>
          <w:hyperlink w:anchor="_Toc207793308" w:history="1">
            <w:r w:rsidRPr="00C17D14">
              <w:rPr>
                <w:rStyle w:val="Hyperlink"/>
                <w:noProof/>
              </w:rPr>
              <w:t>Addressing Assessment Committee plans/goals from 2023-2024 report</w:t>
            </w:r>
            <w:r>
              <w:rPr>
                <w:noProof/>
                <w:webHidden/>
              </w:rPr>
              <w:tab/>
            </w:r>
            <w:r>
              <w:rPr>
                <w:noProof/>
                <w:webHidden/>
              </w:rPr>
              <w:fldChar w:fldCharType="begin"/>
            </w:r>
            <w:r>
              <w:rPr>
                <w:noProof/>
                <w:webHidden/>
              </w:rPr>
              <w:instrText xml:space="preserve"> PAGEREF _Toc207793308 \h </w:instrText>
            </w:r>
            <w:r>
              <w:rPr>
                <w:noProof/>
                <w:webHidden/>
              </w:rPr>
            </w:r>
            <w:r>
              <w:rPr>
                <w:noProof/>
                <w:webHidden/>
              </w:rPr>
              <w:fldChar w:fldCharType="separate"/>
            </w:r>
            <w:r>
              <w:rPr>
                <w:noProof/>
                <w:webHidden/>
              </w:rPr>
              <w:t>2</w:t>
            </w:r>
            <w:r>
              <w:rPr>
                <w:noProof/>
                <w:webHidden/>
              </w:rPr>
              <w:fldChar w:fldCharType="end"/>
            </w:r>
          </w:hyperlink>
        </w:p>
        <w:p w14:paraId="031A6B3B" w14:textId="23DB7E63" w:rsidR="00B64E8D" w:rsidRDefault="00B64E8D">
          <w:pPr>
            <w:pStyle w:val="TOC1"/>
            <w:tabs>
              <w:tab w:val="right" w:leader="dot" w:pos="9350"/>
            </w:tabs>
            <w:rPr>
              <w:noProof/>
              <w:kern w:val="2"/>
              <w:sz w:val="22"/>
              <w:szCs w:val="22"/>
              <w:lang w:eastAsia="en-US"/>
              <w14:ligatures w14:val="standardContextual"/>
            </w:rPr>
          </w:pPr>
          <w:hyperlink w:anchor="_Toc207793309" w:history="1">
            <w:r w:rsidRPr="00C17D14">
              <w:rPr>
                <w:rStyle w:val="Hyperlink"/>
                <w:noProof/>
              </w:rPr>
              <w:t>Assessments</w:t>
            </w:r>
            <w:r>
              <w:rPr>
                <w:noProof/>
                <w:webHidden/>
              </w:rPr>
              <w:tab/>
            </w:r>
            <w:r>
              <w:rPr>
                <w:noProof/>
                <w:webHidden/>
              </w:rPr>
              <w:fldChar w:fldCharType="begin"/>
            </w:r>
            <w:r>
              <w:rPr>
                <w:noProof/>
                <w:webHidden/>
              </w:rPr>
              <w:instrText xml:space="preserve"> PAGEREF _Toc207793309 \h </w:instrText>
            </w:r>
            <w:r>
              <w:rPr>
                <w:noProof/>
                <w:webHidden/>
              </w:rPr>
            </w:r>
            <w:r>
              <w:rPr>
                <w:noProof/>
                <w:webHidden/>
              </w:rPr>
              <w:fldChar w:fldCharType="separate"/>
            </w:r>
            <w:r>
              <w:rPr>
                <w:noProof/>
                <w:webHidden/>
              </w:rPr>
              <w:t>3</w:t>
            </w:r>
            <w:r>
              <w:rPr>
                <w:noProof/>
                <w:webHidden/>
              </w:rPr>
              <w:fldChar w:fldCharType="end"/>
            </w:r>
          </w:hyperlink>
        </w:p>
        <w:p w14:paraId="27905AED" w14:textId="6D606C1C" w:rsidR="00B64E8D" w:rsidRDefault="00B64E8D">
          <w:pPr>
            <w:pStyle w:val="TOC2"/>
            <w:tabs>
              <w:tab w:val="right" w:leader="dot" w:pos="9350"/>
            </w:tabs>
            <w:rPr>
              <w:noProof/>
              <w:kern w:val="2"/>
              <w:sz w:val="22"/>
              <w:szCs w:val="22"/>
              <w:lang w:eastAsia="en-US"/>
              <w14:ligatures w14:val="standardContextual"/>
            </w:rPr>
          </w:pPr>
          <w:hyperlink w:anchor="_Toc207793310" w:history="1">
            <w:r w:rsidRPr="00C17D14">
              <w:rPr>
                <w:rStyle w:val="Hyperlink"/>
                <w:noProof/>
              </w:rPr>
              <w:t>Follow up from previous assessments/closing the loop</w:t>
            </w:r>
            <w:r>
              <w:rPr>
                <w:noProof/>
                <w:webHidden/>
              </w:rPr>
              <w:tab/>
            </w:r>
            <w:r>
              <w:rPr>
                <w:noProof/>
                <w:webHidden/>
              </w:rPr>
              <w:fldChar w:fldCharType="begin"/>
            </w:r>
            <w:r>
              <w:rPr>
                <w:noProof/>
                <w:webHidden/>
              </w:rPr>
              <w:instrText xml:space="preserve"> PAGEREF _Toc207793310 \h </w:instrText>
            </w:r>
            <w:r>
              <w:rPr>
                <w:noProof/>
                <w:webHidden/>
              </w:rPr>
            </w:r>
            <w:r>
              <w:rPr>
                <w:noProof/>
                <w:webHidden/>
              </w:rPr>
              <w:fldChar w:fldCharType="separate"/>
            </w:r>
            <w:r>
              <w:rPr>
                <w:noProof/>
                <w:webHidden/>
              </w:rPr>
              <w:t>4</w:t>
            </w:r>
            <w:r>
              <w:rPr>
                <w:noProof/>
                <w:webHidden/>
              </w:rPr>
              <w:fldChar w:fldCharType="end"/>
            </w:r>
          </w:hyperlink>
        </w:p>
        <w:p w14:paraId="67FCFB2F" w14:textId="3D9335B3" w:rsidR="00B64E8D" w:rsidRDefault="00B64E8D">
          <w:pPr>
            <w:pStyle w:val="TOC2"/>
            <w:tabs>
              <w:tab w:val="right" w:leader="dot" w:pos="9350"/>
            </w:tabs>
            <w:rPr>
              <w:noProof/>
              <w:kern w:val="2"/>
              <w:sz w:val="22"/>
              <w:szCs w:val="22"/>
              <w:lang w:eastAsia="en-US"/>
              <w14:ligatures w14:val="standardContextual"/>
            </w:rPr>
          </w:pPr>
          <w:hyperlink w:anchor="_Toc207793311" w:history="1">
            <w:r w:rsidRPr="00C17D14">
              <w:rPr>
                <w:rStyle w:val="Hyperlink"/>
                <w:noProof/>
              </w:rPr>
              <w:t>Connections to institutional/programmatic/departmental data</w:t>
            </w:r>
            <w:r>
              <w:rPr>
                <w:noProof/>
                <w:webHidden/>
              </w:rPr>
              <w:tab/>
            </w:r>
            <w:r>
              <w:rPr>
                <w:noProof/>
                <w:webHidden/>
              </w:rPr>
              <w:fldChar w:fldCharType="begin"/>
            </w:r>
            <w:r>
              <w:rPr>
                <w:noProof/>
                <w:webHidden/>
              </w:rPr>
              <w:instrText xml:space="preserve"> PAGEREF _Toc207793311 \h </w:instrText>
            </w:r>
            <w:r>
              <w:rPr>
                <w:noProof/>
                <w:webHidden/>
              </w:rPr>
            </w:r>
            <w:r>
              <w:rPr>
                <w:noProof/>
                <w:webHidden/>
              </w:rPr>
              <w:fldChar w:fldCharType="separate"/>
            </w:r>
            <w:r>
              <w:rPr>
                <w:noProof/>
                <w:webHidden/>
              </w:rPr>
              <w:t>4</w:t>
            </w:r>
            <w:r>
              <w:rPr>
                <w:noProof/>
                <w:webHidden/>
              </w:rPr>
              <w:fldChar w:fldCharType="end"/>
            </w:r>
          </w:hyperlink>
        </w:p>
        <w:p w14:paraId="6F3D16AF" w14:textId="038E7E64" w:rsidR="00B64E8D" w:rsidRDefault="00B64E8D">
          <w:pPr>
            <w:pStyle w:val="TOC1"/>
            <w:tabs>
              <w:tab w:val="right" w:leader="dot" w:pos="9350"/>
            </w:tabs>
            <w:rPr>
              <w:noProof/>
              <w:kern w:val="2"/>
              <w:sz w:val="22"/>
              <w:szCs w:val="22"/>
              <w:lang w:eastAsia="en-US"/>
              <w14:ligatures w14:val="standardContextual"/>
            </w:rPr>
          </w:pPr>
          <w:hyperlink w:anchor="_Toc207793312" w:history="1">
            <w:r w:rsidRPr="00C17D14">
              <w:rPr>
                <w:rStyle w:val="Hyperlink"/>
                <w:noProof/>
              </w:rPr>
              <w:t>Reflection and Response to Faculty Assessment Reports</w:t>
            </w:r>
            <w:r>
              <w:rPr>
                <w:noProof/>
                <w:webHidden/>
              </w:rPr>
              <w:tab/>
            </w:r>
            <w:r>
              <w:rPr>
                <w:noProof/>
                <w:webHidden/>
              </w:rPr>
              <w:fldChar w:fldCharType="begin"/>
            </w:r>
            <w:r>
              <w:rPr>
                <w:noProof/>
                <w:webHidden/>
              </w:rPr>
              <w:instrText xml:space="preserve"> PAGEREF _Toc207793312 \h </w:instrText>
            </w:r>
            <w:r>
              <w:rPr>
                <w:noProof/>
                <w:webHidden/>
              </w:rPr>
            </w:r>
            <w:r>
              <w:rPr>
                <w:noProof/>
                <w:webHidden/>
              </w:rPr>
              <w:fldChar w:fldCharType="separate"/>
            </w:r>
            <w:r>
              <w:rPr>
                <w:noProof/>
                <w:webHidden/>
              </w:rPr>
              <w:t>6</w:t>
            </w:r>
            <w:r>
              <w:rPr>
                <w:noProof/>
                <w:webHidden/>
              </w:rPr>
              <w:fldChar w:fldCharType="end"/>
            </w:r>
          </w:hyperlink>
        </w:p>
        <w:p w14:paraId="159C24E6" w14:textId="1F952F8F" w:rsidR="00B64E8D" w:rsidRDefault="00B64E8D">
          <w:pPr>
            <w:pStyle w:val="TOC1"/>
            <w:tabs>
              <w:tab w:val="right" w:leader="dot" w:pos="9350"/>
            </w:tabs>
            <w:rPr>
              <w:noProof/>
              <w:kern w:val="2"/>
              <w:sz w:val="22"/>
              <w:szCs w:val="22"/>
              <w:lang w:eastAsia="en-US"/>
              <w14:ligatures w14:val="standardContextual"/>
            </w:rPr>
          </w:pPr>
          <w:hyperlink w:anchor="_Toc207793313" w:history="1">
            <w:r w:rsidRPr="00C17D14">
              <w:rPr>
                <w:rStyle w:val="Hyperlink"/>
                <w:noProof/>
              </w:rPr>
              <w:t>Goals and Direction for the Future</w:t>
            </w:r>
            <w:r>
              <w:rPr>
                <w:noProof/>
                <w:webHidden/>
              </w:rPr>
              <w:tab/>
            </w:r>
            <w:r>
              <w:rPr>
                <w:noProof/>
                <w:webHidden/>
              </w:rPr>
              <w:fldChar w:fldCharType="begin"/>
            </w:r>
            <w:r>
              <w:rPr>
                <w:noProof/>
                <w:webHidden/>
              </w:rPr>
              <w:instrText xml:space="preserve"> PAGEREF _Toc207793313 \h </w:instrText>
            </w:r>
            <w:r>
              <w:rPr>
                <w:noProof/>
                <w:webHidden/>
              </w:rPr>
            </w:r>
            <w:r>
              <w:rPr>
                <w:noProof/>
                <w:webHidden/>
              </w:rPr>
              <w:fldChar w:fldCharType="separate"/>
            </w:r>
            <w:r>
              <w:rPr>
                <w:noProof/>
                <w:webHidden/>
              </w:rPr>
              <w:t>6</w:t>
            </w:r>
            <w:r>
              <w:rPr>
                <w:noProof/>
                <w:webHidden/>
              </w:rPr>
              <w:fldChar w:fldCharType="end"/>
            </w:r>
          </w:hyperlink>
        </w:p>
        <w:p w14:paraId="53723C8C" w14:textId="22403FA2" w:rsidR="00C4317E" w:rsidRDefault="00C4317E">
          <w:r>
            <w:rPr>
              <w:b/>
              <w:bCs/>
              <w:noProof/>
            </w:rPr>
            <w:fldChar w:fldCharType="end"/>
          </w:r>
        </w:p>
      </w:sdtContent>
    </w:sdt>
    <w:p w14:paraId="51C4F606" w14:textId="25EFE1E8" w:rsidR="00025C1E" w:rsidRPr="00025C1E" w:rsidRDefault="00025C1E" w:rsidP="00025C1E"/>
    <w:p w14:paraId="0C7F4A7C" w14:textId="705F7269" w:rsidR="00F67325" w:rsidRDefault="00025C1E" w:rsidP="00025C1E">
      <w:r w:rsidRPr="00025C1E">
        <w:t>‌</w:t>
      </w:r>
    </w:p>
    <w:p w14:paraId="54B9C263" w14:textId="77777777" w:rsidR="00020440" w:rsidRDefault="00020440"/>
    <w:p w14:paraId="18B50AC7" w14:textId="3DD2A2BB" w:rsidR="00F67325" w:rsidRDefault="00F67325">
      <w:r>
        <w:br w:type="page"/>
      </w:r>
    </w:p>
    <w:p w14:paraId="5D60A81B" w14:textId="1C3FB6F5" w:rsidR="00692BB4" w:rsidRDefault="00692BB4" w:rsidP="00692BB4">
      <w:pPr>
        <w:pStyle w:val="Heading1"/>
      </w:pPr>
      <w:bookmarkStart w:id="0" w:name="_Toc207793306"/>
      <w:r>
        <w:lastRenderedPageBreak/>
        <w:t>Introduction</w:t>
      </w:r>
      <w:bookmarkEnd w:id="0"/>
    </w:p>
    <w:p w14:paraId="535AA075" w14:textId="643B9330" w:rsidR="00692BB4" w:rsidRDefault="00573813" w:rsidP="005F6B5E">
      <w:pPr>
        <w:pStyle w:val="Heading2"/>
      </w:pPr>
      <w:bookmarkStart w:id="1" w:name="_Toc207793307"/>
      <w:r>
        <w:t xml:space="preserve">Current </w:t>
      </w:r>
      <w:r w:rsidR="00C646DE">
        <w:t>f</w:t>
      </w:r>
      <w:r>
        <w:t xml:space="preserve">ocus and </w:t>
      </w:r>
      <w:r w:rsidR="00C646DE">
        <w:t>u</w:t>
      </w:r>
      <w:r>
        <w:t xml:space="preserve">nderstanding of </w:t>
      </w:r>
      <w:proofErr w:type="gramStart"/>
      <w:r w:rsidR="00C646DE">
        <w:t>a</w:t>
      </w:r>
      <w:r>
        <w:t>ssessment</w:t>
      </w:r>
      <w:bookmarkEnd w:id="1"/>
      <w:proofErr w:type="gramEnd"/>
    </w:p>
    <w:p w14:paraId="2984A4D6" w14:textId="7E196463" w:rsidR="005F6B5E" w:rsidRPr="007243B3" w:rsidRDefault="00BF0462" w:rsidP="005F6B5E">
      <w:r>
        <w:t xml:space="preserve">This year </w:t>
      </w:r>
      <w:r w:rsidR="00895E44">
        <w:t>B</w:t>
      </w:r>
      <w:r w:rsidR="00DA187D">
        <w:t xml:space="preserve">ig </w:t>
      </w:r>
      <w:r w:rsidR="00895E44">
        <w:t>B</w:t>
      </w:r>
      <w:r w:rsidR="00DA187D">
        <w:t xml:space="preserve">end </w:t>
      </w:r>
      <w:r w:rsidR="00895E44">
        <w:t>C</w:t>
      </w:r>
      <w:r w:rsidR="00DA187D">
        <w:t xml:space="preserve">ommunity </w:t>
      </w:r>
      <w:r w:rsidR="00895E44">
        <w:t>C</w:t>
      </w:r>
      <w:r w:rsidR="00DA187D">
        <w:t>ollege (BBCC)</w:t>
      </w:r>
      <w:r w:rsidR="00895E44">
        <w:t xml:space="preserve"> s</w:t>
      </w:r>
      <w:r w:rsidR="004453B7">
        <w:t>tarted</w:t>
      </w:r>
      <w:r w:rsidR="005F6B5E">
        <w:t xml:space="preserve"> a</w:t>
      </w:r>
      <w:r w:rsidR="004453B7">
        <w:t xml:space="preserve"> new</w:t>
      </w:r>
      <w:r w:rsidR="005F6B5E">
        <w:t xml:space="preserve"> </w:t>
      </w:r>
      <w:r w:rsidR="09A1AF2B">
        <w:t>seven-year</w:t>
      </w:r>
      <w:r w:rsidR="005F6B5E">
        <w:t xml:space="preserve"> </w:t>
      </w:r>
      <w:r>
        <w:t xml:space="preserve">assessment </w:t>
      </w:r>
      <w:r w:rsidR="005F6B5E">
        <w:t>cycle</w:t>
      </w:r>
      <w:r>
        <w:t>.</w:t>
      </w:r>
      <w:r w:rsidR="005F6B5E">
        <w:t xml:space="preserve"> </w:t>
      </w:r>
      <w:r>
        <w:t xml:space="preserve"> </w:t>
      </w:r>
      <w:r w:rsidR="00362262">
        <w:t xml:space="preserve">This first year in the cycle had </w:t>
      </w:r>
      <w:r w:rsidR="007C56CC">
        <w:t xml:space="preserve">no specific </w:t>
      </w:r>
      <w:r w:rsidR="00895E44">
        <w:t xml:space="preserve">Institutional </w:t>
      </w:r>
      <w:r w:rsidR="007C56CC">
        <w:t>O</w:t>
      </w:r>
      <w:r w:rsidR="00895E44">
        <w:t xml:space="preserve">utcome (IO) </w:t>
      </w:r>
      <w:r w:rsidR="00312FF8">
        <w:t>focus</w:t>
      </w:r>
      <w:r w:rsidR="004453B7">
        <w:t xml:space="preserve"> but instead focus</w:t>
      </w:r>
      <w:r w:rsidR="00362262">
        <w:t>ed</w:t>
      </w:r>
      <w:r w:rsidR="004453B7">
        <w:t xml:space="preserve"> on transitioning to a </w:t>
      </w:r>
      <w:r w:rsidR="00530A63">
        <w:t xml:space="preserve">programmatic/departmental </w:t>
      </w:r>
      <w:r w:rsidR="00362262">
        <w:t xml:space="preserve">level </w:t>
      </w:r>
      <w:r w:rsidR="00530A63">
        <w:t xml:space="preserve">view and approach to assessment </w:t>
      </w:r>
      <w:r w:rsidR="00312FF8">
        <w:t xml:space="preserve">for </w:t>
      </w:r>
      <w:r w:rsidR="007243B3">
        <w:t xml:space="preserve">the </w:t>
      </w:r>
      <w:r w:rsidR="00312FF8">
        <w:t>whole campus</w:t>
      </w:r>
      <w:r w:rsidR="007243B3">
        <w:t xml:space="preserve">. </w:t>
      </w:r>
      <w:r w:rsidR="00B176B2">
        <w:t xml:space="preserve"> </w:t>
      </w:r>
      <w:r w:rsidR="007243B3">
        <w:t xml:space="preserve">There was still a </w:t>
      </w:r>
      <w:r w:rsidR="00B176B2">
        <w:t>continued</w:t>
      </w:r>
      <w:r w:rsidR="002A1667">
        <w:t xml:space="preserve"> </w:t>
      </w:r>
      <w:r w:rsidR="007243B3">
        <w:t xml:space="preserve">effort </w:t>
      </w:r>
      <w:r w:rsidR="002A1667">
        <w:t xml:space="preserve">to </w:t>
      </w:r>
      <w:r w:rsidR="006B79C9">
        <w:t>connect to larger campus data and professional development</w:t>
      </w:r>
      <w:r w:rsidR="007243B3">
        <w:t>, as well as</w:t>
      </w:r>
      <w:r w:rsidR="00B176B2">
        <w:t xml:space="preserve"> continued one-on-one support throughout the year</w:t>
      </w:r>
      <w:r w:rsidR="007243B3">
        <w:t>.</w:t>
      </w:r>
    </w:p>
    <w:p w14:paraId="529D877D" w14:textId="4EEFBD24" w:rsidR="00367B22" w:rsidRPr="009C6C49" w:rsidRDefault="007243B3" w:rsidP="005F6B5E">
      <w:r>
        <w:t xml:space="preserve">As a college, </w:t>
      </w:r>
      <w:r w:rsidR="00A75651">
        <w:t>BBCC c</w:t>
      </w:r>
      <w:r w:rsidR="00367B22">
        <w:t>ontinue</w:t>
      </w:r>
      <w:r w:rsidR="00A75651">
        <w:t>d</w:t>
      </w:r>
      <w:r w:rsidR="00367B22">
        <w:t xml:space="preserve"> to assess for improvement </w:t>
      </w:r>
      <w:r w:rsidR="00A75651">
        <w:t xml:space="preserve">by having </w:t>
      </w:r>
      <w:r w:rsidR="00BB6688">
        <w:t xml:space="preserve">each </w:t>
      </w:r>
      <w:r w:rsidR="003E4174">
        <w:t>program</w:t>
      </w:r>
      <w:r w:rsidR="00BB6688">
        <w:t>/department</w:t>
      </w:r>
      <w:r w:rsidR="00E27DB5">
        <w:t xml:space="preserve"> </w:t>
      </w:r>
      <w:r w:rsidR="00367B22">
        <w:t>identify</w:t>
      </w:r>
      <w:r w:rsidR="00E27DB5">
        <w:t>ing</w:t>
      </w:r>
      <w:r w:rsidR="00367B22">
        <w:t xml:space="preserve"> an issue, challenge, </w:t>
      </w:r>
      <w:r w:rsidR="005B6DB7">
        <w:t>achievement</w:t>
      </w:r>
      <w:r w:rsidR="00F77791">
        <w:t xml:space="preserve"> gap</w:t>
      </w:r>
      <w:r w:rsidR="00A75651">
        <w:t>,</w:t>
      </w:r>
      <w:r w:rsidR="00F77791">
        <w:t xml:space="preserve"> etc. </w:t>
      </w:r>
      <w:r w:rsidR="00E27DB5">
        <w:t xml:space="preserve">in the </w:t>
      </w:r>
      <w:r w:rsidR="003E4174">
        <w:t>program</w:t>
      </w:r>
      <w:r w:rsidR="00E27DB5">
        <w:t>/department</w:t>
      </w:r>
      <w:r w:rsidR="00BB6688">
        <w:t xml:space="preserve"> </w:t>
      </w:r>
      <w:r w:rsidR="00F77791">
        <w:t>first, then decide</w:t>
      </w:r>
      <w:r w:rsidR="003E4174">
        <w:t>d</w:t>
      </w:r>
      <w:r w:rsidR="00F77791">
        <w:t xml:space="preserve"> on type of intervention, implement</w:t>
      </w:r>
      <w:r w:rsidR="003E4174">
        <w:t>ed</w:t>
      </w:r>
      <w:r w:rsidR="00F77791">
        <w:t xml:space="preserve"> </w:t>
      </w:r>
      <w:r w:rsidR="00971320">
        <w:t xml:space="preserve">the </w:t>
      </w:r>
      <w:r w:rsidR="00F77791">
        <w:t>intervention, reflect</w:t>
      </w:r>
      <w:r w:rsidR="003E4174">
        <w:t>ed</w:t>
      </w:r>
      <w:r w:rsidR="00F77791">
        <w:t xml:space="preserve"> and</w:t>
      </w:r>
      <w:r w:rsidR="005B4F13">
        <w:t xml:space="preserve"> decide</w:t>
      </w:r>
      <w:r w:rsidR="003E4174">
        <w:t>d</w:t>
      </w:r>
      <w:r w:rsidR="005B4F13">
        <w:t xml:space="preserve"> next steps (repeat, adapt, budget, PD, etc.)</w:t>
      </w:r>
      <w:r w:rsidR="005976BA">
        <w:t>, and submit this as a plan at the beginning of the year with a report once the assessment work concluded</w:t>
      </w:r>
      <w:r w:rsidR="009C6C49">
        <w:t>.  At the end of the year, a</w:t>
      </w:r>
      <w:r w:rsidR="006616C0">
        <w:t xml:space="preserve"> </w:t>
      </w:r>
      <w:r w:rsidR="005978F4">
        <w:t xml:space="preserve">small group provided </w:t>
      </w:r>
      <w:r w:rsidR="00F20D83">
        <w:t>feedback on each assessment report</w:t>
      </w:r>
      <w:r w:rsidR="009C6C49">
        <w:t>.</w:t>
      </w:r>
    </w:p>
    <w:p w14:paraId="691ADDD5" w14:textId="4192D3E0" w:rsidR="00FA34F7" w:rsidRPr="005F6B5E" w:rsidRDefault="006728F5" w:rsidP="005F6B5E">
      <w:r>
        <w:t>BBCC plans to c</w:t>
      </w:r>
      <w:r w:rsidR="00FA34F7">
        <w:t>ontinue to push towards a program</w:t>
      </w:r>
      <w:r>
        <w:t xml:space="preserve">matic/departmental </w:t>
      </w:r>
      <w:r w:rsidR="00FA34F7">
        <w:t>level focus</w:t>
      </w:r>
      <w:r w:rsidR="08AFAF37">
        <w:t xml:space="preserve">.  During the 2025-26 academic year </w:t>
      </w:r>
      <w:proofErr w:type="gramStart"/>
      <w:r w:rsidR="08AFAF37">
        <w:t>the</w:t>
      </w:r>
      <w:r w:rsidR="00526D40">
        <w:t xml:space="preserve"> majority of</w:t>
      </w:r>
      <w:proofErr w:type="gramEnd"/>
      <w:r w:rsidR="00526D40">
        <w:t xml:space="preserve"> the campus </w:t>
      </w:r>
      <w:r w:rsidR="3B442C68">
        <w:t xml:space="preserve">will </w:t>
      </w:r>
      <w:r w:rsidR="00526D40">
        <w:t xml:space="preserve">focus on assessing </w:t>
      </w:r>
      <w:r w:rsidR="00895E44">
        <w:t>IO</w:t>
      </w:r>
      <w:r w:rsidR="00526D40">
        <w:t xml:space="preserve"> 1 (</w:t>
      </w:r>
      <w:r w:rsidR="00C62EC7">
        <w:t>s</w:t>
      </w:r>
      <w:r w:rsidR="00E0655F">
        <w:t>tudents will be able to communicate clearly and effectively).</w:t>
      </w:r>
      <w:r w:rsidR="00526D40">
        <w:t xml:space="preserve"> </w:t>
      </w:r>
      <w:r w:rsidR="00FA34F7">
        <w:t xml:space="preserve"> </w:t>
      </w:r>
      <w:r w:rsidR="00091C4B">
        <w:t>Faculty will be e</w:t>
      </w:r>
      <w:r w:rsidR="00E0655F">
        <w:t>ncourage</w:t>
      </w:r>
      <w:r w:rsidR="00091C4B">
        <w:t>d</w:t>
      </w:r>
      <w:r w:rsidR="00E0655F">
        <w:t xml:space="preserve"> to use one of the </w:t>
      </w:r>
      <w:r w:rsidR="00BB1970">
        <w:t>templates created by Assessment Committee over the past year.</w:t>
      </w:r>
    </w:p>
    <w:p w14:paraId="248729E8" w14:textId="13C5EBFD" w:rsidR="00F67325" w:rsidRDefault="00F40271" w:rsidP="0007055E">
      <w:pPr>
        <w:pStyle w:val="Heading2"/>
      </w:pPr>
      <w:bookmarkStart w:id="2" w:name="_Toc207793308"/>
      <w:r>
        <w:t xml:space="preserve">Addressing </w:t>
      </w:r>
      <w:r w:rsidR="008A30A7">
        <w:t>A</w:t>
      </w:r>
      <w:r w:rsidR="0060697F">
        <w:t>ssessm</w:t>
      </w:r>
      <w:r w:rsidR="003A45D9">
        <w:t>en</w:t>
      </w:r>
      <w:r w:rsidR="0060697F">
        <w:t xml:space="preserve">t Committee </w:t>
      </w:r>
      <w:r w:rsidR="008A30A7">
        <w:t>p</w:t>
      </w:r>
      <w:r w:rsidR="0060697F" w:rsidRPr="0007055E">
        <w:t>lans</w:t>
      </w:r>
      <w:r w:rsidR="003A45D9">
        <w:t>/</w:t>
      </w:r>
      <w:r w:rsidR="008A30A7">
        <w:t>g</w:t>
      </w:r>
      <w:r w:rsidR="003A45D9">
        <w:t>oals</w:t>
      </w:r>
      <w:r w:rsidR="00DB0CC6">
        <w:t xml:space="preserve"> from </w:t>
      </w:r>
      <w:r w:rsidR="003A45D9">
        <w:t>20</w:t>
      </w:r>
      <w:r w:rsidR="00DB0CC6">
        <w:t>2</w:t>
      </w:r>
      <w:r w:rsidR="00867411">
        <w:t>3</w:t>
      </w:r>
      <w:r w:rsidR="00DB0CC6">
        <w:t>-</w:t>
      </w:r>
      <w:r w:rsidR="003A45D9">
        <w:t>20</w:t>
      </w:r>
      <w:r w:rsidR="00DB0CC6">
        <w:t>2</w:t>
      </w:r>
      <w:r w:rsidR="00867411">
        <w:t>4</w:t>
      </w:r>
      <w:r w:rsidR="00DB0CC6">
        <w:t xml:space="preserve"> </w:t>
      </w:r>
      <w:r w:rsidR="008A30A7">
        <w:t>r</w:t>
      </w:r>
      <w:r w:rsidR="00E70854">
        <w:t>eport</w:t>
      </w:r>
      <w:bookmarkEnd w:id="2"/>
    </w:p>
    <w:p w14:paraId="514E64A2" w14:textId="6797CF83" w:rsidR="00E500EA" w:rsidRDefault="005B057B" w:rsidP="00025C1E">
      <w:r>
        <w:t xml:space="preserve">The previous years’ goal of </w:t>
      </w:r>
      <w:r w:rsidR="00E72821">
        <w:t xml:space="preserve">re-arranging this new </w:t>
      </w:r>
      <w:r w:rsidR="00091C4B">
        <w:t>seven-year</w:t>
      </w:r>
      <w:r w:rsidR="00E72821">
        <w:t xml:space="preserve"> cycle to have the “</w:t>
      </w:r>
      <w:r w:rsidR="00A17869">
        <w:t>catch all” seventh year become our first year and give programs/</w:t>
      </w:r>
      <w:r w:rsidR="00FF0FEE">
        <w:t>departments</w:t>
      </w:r>
      <w:r w:rsidR="00A17869">
        <w:t xml:space="preserve"> time to switch focus of assessments to the programmatic/departmental level</w:t>
      </w:r>
      <w:r w:rsidR="00FF0FEE">
        <w:t xml:space="preserve"> appears to have been a wise decision and </w:t>
      </w:r>
      <w:r w:rsidR="00514E9C">
        <w:t xml:space="preserve">very </w:t>
      </w:r>
      <w:r w:rsidR="00FF0FEE">
        <w:t>successful</w:t>
      </w:r>
      <w:r w:rsidR="00301026">
        <w:t xml:space="preserve"> (</w:t>
      </w:r>
      <w:r w:rsidR="00DD7A88">
        <w:t>at least 26 of the 28 programs/departments</w:t>
      </w:r>
      <w:r w:rsidR="17C2090F">
        <w:t xml:space="preserve"> assessed program outcomes</w:t>
      </w:r>
      <w:r w:rsidR="00DD7A88">
        <w:t>)</w:t>
      </w:r>
      <w:r w:rsidR="00FF0FEE">
        <w:t xml:space="preserve">.  Many </w:t>
      </w:r>
      <w:r w:rsidR="00CC2F3D">
        <w:t xml:space="preserve">faculty appreciated not needing to report on every single course as well as </w:t>
      </w:r>
      <w:r w:rsidR="00BF21A0">
        <w:t xml:space="preserve">more time given towards approaching </w:t>
      </w:r>
      <w:r w:rsidR="00081859">
        <w:t>assessing their respective areas from a broader</w:t>
      </w:r>
      <w:r w:rsidR="0042447A">
        <w:t xml:space="preserve"> programmatic/departmental</w:t>
      </w:r>
      <w:r w:rsidR="00081859">
        <w:t xml:space="preserve"> view.</w:t>
      </w:r>
    </w:p>
    <w:p w14:paraId="618D7671" w14:textId="3F037062" w:rsidR="00C400E2" w:rsidRDefault="00C400E2" w:rsidP="00025C1E">
      <w:r>
        <w:t xml:space="preserve">By shifting the new cycle around, </w:t>
      </w:r>
      <w:r w:rsidR="00E74F86">
        <w:t>this allowed the Assessment Committee</w:t>
      </w:r>
      <w:r w:rsidR="000570FE">
        <w:t xml:space="preserve"> (AC)</w:t>
      </w:r>
      <w:r w:rsidR="00E74F86">
        <w:t xml:space="preserve"> to gather </w:t>
      </w:r>
      <w:r w:rsidR="000570FE">
        <w:t>institutional</w:t>
      </w:r>
      <w:r w:rsidR="00E74F86">
        <w:t xml:space="preserve"> qualitative data on the</w:t>
      </w:r>
      <w:r w:rsidR="000570FE">
        <w:t xml:space="preserve"> potential concerns relating to student success for IO 1</w:t>
      </w:r>
      <w:r w:rsidR="0042447A">
        <w:t xml:space="preserve"> </w:t>
      </w:r>
      <w:r w:rsidR="007225D5">
        <w:t>in the Fall</w:t>
      </w:r>
      <w:r w:rsidR="008D5100">
        <w:t xml:space="preserve"> of this past year</w:t>
      </w:r>
      <w:r w:rsidR="000570FE">
        <w:t>.  The AC then compiled and analyzed this data</w:t>
      </w:r>
      <w:r w:rsidR="007D25EF">
        <w:t xml:space="preserve"> to create templates for faculty to use in the 25-26 school year</w:t>
      </w:r>
      <w:r w:rsidR="0005258A">
        <w:t xml:space="preserve"> addressing </w:t>
      </w:r>
      <w:r w:rsidR="000832EB">
        <w:t xml:space="preserve">the </w:t>
      </w:r>
      <w:r w:rsidR="006538C4">
        <w:t>two core</w:t>
      </w:r>
      <w:r w:rsidR="0005258A">
        <w:t xml:space="preserve"> concerns of academic vocabulary and </w:t>
      </w:r>
      <w:r w:rsidR="007E06B7">
        <w:t>the int</w:t>
      </w:r>
      <w:r w:rsidR="000832EB">
        <w:t>egration</w:t>
      </w:r>
      <w:r w:rsidR="007E06B7">
        <w:t xml:space="preserve"> of AI.</w:t>
      </w:r>
      <w:r w:rsidR="007225D5">
        <w:t xml:space="preserve">  These were refined over Winter and shared with faculty in the Spring</w:t>
      </w:r>
      <w:r w:rsidR="004B56A5">
        <w:t xml:space="preserve">.  </w:t>
      </w:r>
    </w:p>
    <w:p w14:paraId="56AA43A4" w14:textId="7E03F799" w:rsidR="004A2074" w:rsidRDefault="007A409A" w:rsidP="00025C1E">
      <w:pPr>
        <w:rPr>
          <w:color w:val="FF0000"/>
        </w:rPr>
      </w:pPr>
      <w:r>
        <w:lastRenderedPageBreak/>
        <w:t xml:space="preserve">In addition, </w:t>
      </w:r>
      <w:r w:rsidR="00736A18">
        <w:t>assessment work during Week Zero and preparing for program</w:t>
      </w:r>
      <w:r>
        <w:t>matic</w:t>
      </w:r>
      <w:r w:rsidR="00736A18">
        <w:t>/departmental</w:t>
      </w:r>
      <w:r w:rsidR="00CD54DD">
        <w:t xml:space="preserve"> </w:t>
      </w:r>
      <w:r w:rsidR="00736A18">
        <w:t>level assessment plans were address</w:t>
      </w:r>
      <w:r w:rsidR="00D94D53">
        <w:t>ed in the following ways.</w:t>
      </w:r>
      <w:r w:rsidR="005B057B">
        <w:t xml:space="preserve"> </w:t>
      </w:r>
      <w:r w:rsidR="009A04A3">
        <w:t>During Fall In-Service, f</w:t>
      </w:r>
      <w:r w:rsidR="0079413B">
        <w:t xml:space="preserve">eedback </w:t>
      </w:r>
      <w:r w:rsidR="00E64E37">
        <w:t xml:space="preserve">from </w:t>
      </w:r>
      <w:r w:rsidR="00D94D53">
        <w:t xml:space="preserve">the </w:t>
      </w:r>
      <w:r w:rsidR="00E64E37">
        <w:t xml:space="preserve">assessment rubric </w:t>
      </w:r>
      <w:r w:rsidR="00D94D53">
        <w:t xml:space="preserve">was </w:t>
      </w:r>
      <w:r w:rsidR="0079413B">
        <w:t>given to faculty</w:t>
      </w:r>
      <w:r w:rsidR="00570DAA">
        <w:t xml:space="preserve"> for the assessment plans they had submitted</w:t>
      </w:r>
      <w:r w:rsidR="0079413B">
        <w:t xml:space="preserve"> along with trends and goal</w:t>
      </w:r>
      <w:r w:rsidR="009A04A3">
        <w:t>s</w:t>
      </w:r>
      <w:r w:rsidR="0079413B">
        <w:t xml:space="preserve"> for the year</w:t>
      </w:r>
      <w:r w:rsidR="00E64E37">
        <w:t xml:space="preserve">.  </w:t>
      </w:r>
      <w:r w:rsidR="005764C7">
        <w:t>Faculty</w:t>
      </w:r>
      <w:r w:rsidR="00A45826">
        <w:t xml:space="preserve"> had time to reflect, lo</w:t>
      </w:r>
      <w:r w:rsidR="00052A6F">
        <w:t>o</w:t>
      </w:r>
      <w:r w:rsidR="00A45826">
        <w:t>k at institutional data, and then develop assessment plan</w:t>
      </w:r>
      <w:r w:rsidR="00CD54DD">
        <w:t>s</w:t>
      </w:r>
      <w:r w:rsidR="00A45826">
        <w:t xml:space="preserve"> for the year</w:t>
      </w:r>
      <w:r w:rsidR="00774D70">
        <w:t xml:space="preserve"> </w:t>
      </w:r>
      <w:r w:rsidR="00E41438">
        <w:t xml:space="preserve">focused on the </w:t>
      </w:r>
      <w:r w:rsidR="00774D70">
        <w:t>program</w:t>
      </w:r>
      <w:r w:rsidR="00E41438">
        <w:t>matic</w:t>
      </w:r>
      <w:r w:rsidR="00774D70">
        <w:t>/department</w:t>
      </w:r>
      <w:r w:rsidR="00E41438">
        <w:t>al level</w:t>
      </w:r>
      <w:r w:rsidR="00A45826">
        <w:t xml:space="preserve">.  </w:t>
      </w:r>
      <w:r w:rsidR="004B67A2">
        <w:t>Then the deans or director</w:t>
      </w:r>
      <w:r w:rsidR="00B7024E">
        <w:t xml:space="preserve"> checked off on these</w:t>
      </w:r>
      <w:r w:rsidR="00052A6F">
        <w:t xml:space="preserve">.  </w:t>
      </w:r>
      <w:r w:rsidR="00FA2110">
        <w:t xml:space="preserve">Like in previous years, the </w:t>
      </w:r>
      <w:r w:rsidR="008B13A3">
        <w:t>Annual Assessment Report</w:t>
      </w:r>
      <w:r w:rsidR="00FA2110">
        <w:t xml:space="preserve"> was</w:t>
      </w:r>
      <w:r w:rsidR="008B13A3">
        <w:t xml:space="preserve"> made public on </w:t>
      </w:r>
      <w:r w:rsidR="035CFC91">
        <w:t xml:space="preserve">the </w:t>
      </w:r>
      <w:r w:rsidR="008B13A3">
        <w:t>website.</w:t>
      </w:r>
      <w:r w:rsidR="004B56A5">
        <w:t xml:space="preserve">  </w:t>
      </w:r>
      <w:r w:rsidR="004B43C0">
        <w:t>Throughout</w:t>
      </w:r>
      <w:r w:rsidR="004B56A5">
        <w:t xml:space="preserve"> the year, especially in the </w:t>
      </w:r>
      <w:r w:rsidR="004B43C0">
        <w:t>W</w:t>
      </w:r>
      <w:r w:rsidR="004B56A5">
        <w:t>in</w:t>
      </w:r>
      <w:r w:rsidR="004B43C0">
        <w:t>t</w:t>
      </w:r>
      <w:r w:rsidR="004B56A5">
        <w:t>er and Spring, AC members met one-on-one with their respective areas to provide support for the current assessments</w:t>
      </w:r>
      <w:r w:rsidR="004B43C0">
        <w:t>.</w:t>
      </w:r>
      <w:r w:rsidR="001B35E7">
        <w:t xml:space="preserve">  This was a continued effort over the past two years to</w:t>
      </w:r>
      <w:r w:rsidR="00744E02">
        <w:t xml:space="preserve"> help make assessment work more </w:t>
      </w:r>
      <w:r w:rsidR="00AF5528">
        <w:t>meaningful</w:t>
      </w:r>
      <w:r w:rsidR="00744E02">
        <w:t xml:space="preserve"> for each faculty member and deepen their </w:t>
      </w:r>
      <w:r w:rsidR="00AF5528">
        <w:t>confidence.</w:t>
      </w:r>
    </w:p>
    <w:p w14:paraId="648747D1" w14:textId="6B27E6C8" w:rsidR="001F2DBA" w:rsidRDefault="001F2DBA" w:rsidP="001F2DBA">
      <w:pPr>
        <w:pStyle w:val="Heading1"/>
      </w:pPr>
      <w:bookmarkStart w:id="3" w:name="_Toc207793309"/>
      <w:r>
        <w:t>Assessments</w:t>
      </w:r>
      <w:bookmarkEnd w:id="3"/>
    </w:p>
    <w:p w14:paraId="0F0026C8" w14:textId="7D1EC20A" w:rsidR="00BA2279" w:rsidRDefault="00EC22B6" w:rsidP="001F2DBA">
      <w:r>
        <w:t xml:space="preserve">This </w:t>
      </w:r>
      <w:r w:rsidR="00C25742">
        <w:t>year there was</w:t>
      </w:r>
      <w:r w:rsidR="008E26CA">
        <w:t xml:space="preserve"> </w:t>
      </w:r>
      <w:r w:rsidR="00F731F5">
        <w:t xml:space="preserve">not </w:t>
      </w:r>
      <w:r w:rsidR="008E26CA">
        <w:t>a specific focus</w:t>
      </w:r>
      <w:r w:rsidR="00CD26FB">
        <w:t xml:space="preserve"> on</w:t>
      </w:r>
      <w:r w:rsidR="008E26CA">
        <w:t xml:space="preserve"> one </w:t>
      </w:r>
      <w:proofErr w:type="gramStart"/>
      <w:r w:rsidR="0093188A">
        <w:t>particular</w:t>
      </w:r>
      <w:r w:rsidR="008E26CA">
        <w:t xml:space="preserve"> I</w:t>
      </w:r>
      <w:r w:rsidR="0093188A">
        <w:t>O</w:t>
      </w:r>
      <w:proofErr w:type="gramEnd"/>
      <w:r w:rsidR="008E26CA">
        <w:t xml:space="preserve"> but rather a transition year focused on assessing at the programmatic/departmental level</w:t>
      </w:r>
      <w:r w:rsidR="0093188A">
        <w:t xml:space="preserve"> compared to assess</w:t>
      </w:r>
      <w:r w:rsidR="0033074B">
        <w:t>ing strictly at the classroom or course level</w:t>
      </w:r>
      <w:r w:rsidR="008E26CA">
        <w:t xml:space="preserve">.  </w:t>
      </w:r>
      <w:r w:rsidR="0033074B">
        <w:t xml:space="preserve">As mentioned </w:t>
      </w:r>
      <w:r w:rsidR="00791117">
        <w:t xml:space="preserve">already, a vast majority (over 90%) of the assessments this year did this!  </w:t>
      </w:r>
      <w:r w:rsidR="00335D4A">
        <w:t>This is perhaps</w:t>
      </w:r>
      <w:r w:rsidR="00017146">
        <w:t xml:space="preserve"> one of</w:t>
      </w:r>
      <w:r w:rsidR="00335D4A">
        <w:t xml:space="preserve"> BBCC’s </w:t>
      </w:r>
      <w:r w:rsidR="00F350B2">
        <w:t>greatest accomplishments related to assessment this school year.</w:t>
      </w:r>
      <w:r w:rsidR="00222EE7">
        <w:t xml:space="preserve">  </w:t>
      </w:r>
      <w:r w:rsidR="003E26F4">
        <w:t xml:space="preserve">Following </w:t>
      </w:r>
      <w:r w:rsidR="00E31F68">
        <w:t>are two</w:t>
      </w:r>
      <w:r w:rsidR="009E7A24">
        <w:t xml:space="preserve"> example</w:t>
      </w:r>
      <w:r w:rsidR="00E31F68">
        <w:t>s</w:t>
      </w:r>
      <w:r w:rsidR="009E7A24">
        <w:t xml:space="preserve"> of this switch in how BBCC thinks about assessment</w:t>
      </w:r>
      <w:r w:rsidR="00017146">
        <w:t>,</w:t>
      </w:r>
      <w:r w:rsidR="009E7A24">
        <w:t xml:space="preserve"> as well as </w:t>
      </w:r>
      <w:r w:rsidR="007929E2">
        <w:t>some highlights in specific patterns</w:t>
      </w:r>
      <w:r w:rsidR="00C23605">
        <w:t xml:space="preserve"> seen in programs/departments</w:t>
      </w:r>
      <w:r w:rsidR="00FE53A9">
        <w:t xml:space="preserve">.  See the Appendix for the full details of all assessment </w:t>
      </w:r>
      <w:r w:rsidR="00637D39">
        <w:t>reports</w:t>
      </w:r>
      <w:r w:rsidR="00FE53A9">
        <w:t xml:space="preserve"> submitted.</w:t>
      </w:r>
    </w:p>
    <w:p w14:paraId="44861D92" w14:textId="67F6AA23" w:rsidR="005E17E5" w:rsidRDefault="00B773C4" w:rsidP="001F2DBA">
      <w:r>
        <w:t>The Medical Assistant program</w:t>
      </w:r>
      <w:r w:rsidR="00B16DD4">
        <w:t xml:space="preserve"> saw a recurring issue of enrollment and retention and </w:t>
      </w:r>
      <w:r w:rsidR="00231456">
        <w:t xml:space="preserve">identified issues of the length of the </w:t>
      </w:r>
      <w:r w:rsidR="009079F8">
        <w:t xml:space="preserve">clinical program and lack of readiness for courses.  </w:t>
      </w:r>
      <w:r w:rsidR="00231456">
        <w:t xml:space="preserve"> </w:t>
      </w:r>
      <w:r w:rsidR="00780923">
        <w:t xml:space="preserve">Amid other changes, the program </w:t>
      </w:r>
      <w:r w:rsidR="00085B0A">
        <w:t xml:space="preserve">combined two courses into one and </w:t>
      </w:r>
      <w:r w:rsidR="008E5309">
        <w:t xml:space="preserve">moved courses to meet on Saturdays instead of Fridays.  </w:t>
      </w:r>
      <w:r w:rsidR="004734C1">
        <w:t>This resulted in 90% of MA 115 students completing MA 116</w:t>
      </w:r>
      <w:r w:rsidR="005274F3">
        <w:t xml:space="preserve"> and the program wants to continue these changes with HED courses</w:t>
      </w:r>
      <w:r w:rsidR="005E17E5">
        <w:t>.</w:t>
      </w:r>
    </w:p>
    <w:p w14:paraId="461E8D23" w14:textId="66C2F76A" w:rsidR="00E31F68" w:rsidRDefault="00CC096C" w:rsidP="001F2DBA">
      <w:r>
        <w:t xml:space="preserve">The Manufacturing and Processing Technology department assessed across the program </w:t>
      </w:r>
      <w:r w:rsidR="00F36BA5">
        <w:t>students’ retention</w:t>
      </w:r>
      <w:r w:rsidR="002915C5">
        <w:t xml:space="preserve"> regarding technical drawing nomenclature, symbols, notes, and abbreviations.  </w:t>
      </w:r>
      <w:r w:rsidR="009C4EA6">
        <w:t xml:space="preserve">Through </w:t>
      </w:r>
      <w:r w:rsidR="004559B7">
        <w:t>multiple</w:t>
      </w:r>
      <w:r w:rsidR="009C4EA6">
        <w:t xml:space="preserve"> forms of assessment (quizzes, projects, </w:t>
      </w:r>
      <w:r w:rsidR="004559B7">
        <w:t>reflective discussions</w:t>
      </w:r>
      <w:r w:rsidR="00C771D9">
        <w:t>, labs</w:t>
      </w:r>
      <w:r w:rsidR="004559B7">
        <w:t>) no specific gaps were found</w:t>
      </w:r>
      <w:r w:rsidR="005302CE">
        <w:t xml:space="preserve"> among demographic subgroups, but students did sh</w:t>
      </w:r>
      <w:r w:rsidR="00434865">
        <w:t xml:space="preserve">ow a need for substantial review and prompting to engage in critical independent thinking.  </w:t>
      </w:r>
      <w:r w:rsidR="00E857DE">
        <w:t>The department plans to include more assignments directly requiring students</w:t>
      </w:r>
      <w:r w:rsidR="00632B8E">
        <w:t xml:space="preserve"> to focus on analysis</w:t>
      </w:r>
      <w:r w:rsidR="008A3CAE">
        <w:t xml:space="preserve"> and</w:t>
      </w:r>
      <w:r w:rsidR="00632B8E">
        <w:t xml:space="preserve"> use a flipped classroom model</w:t>
      </w:r>
      <w:r w:rsidR="008A3CAE">
        <w:t xml:space="preserve"> with interactive quizzes early in the program</w:t>
      </w:r>
      <w:r w:rsidR="0016721A">
        <w:t>.</w:t>
      </w:r>
    </w:p>
    <w:p w14:paraId="2B5E84AC" w14:textId="7E8D8267" w:rsidR="00E968F1" w:rsidRDefault="009A05B5" w:rsidP="00062756">
      <w:pPr>
        <w:pStyle w:val="Heading2"/>
      </w:pPr>
      <w:bookmarkStart w:id="4" w:name="_Toc207793310"/>
      <w:r>
        <w:lastRenderedPageBreak/>
        <w:t>Follow up from previous assessments/c</w:t>
      </w:r>
      <w:r w:rsidR="00FA0916">
        <w:t>l</w:t>
      </w:r>
      <w:r>
        <w:t xml:space="preserve">osing the </w:t>
      </w:r>
      <w:proofErr w:type="gramStart"/>
      <w:r>
        <w:t>loop</w:t>
      </w:r>
      <w:bookmarkEnd w:id="4"/>
      <w:proofErr w:type="gramEnd"/>
    </w:p>
    <w:p w14:paraId="173DCE8F" w14:textId="067BEA51" w:rsidR="00D756DA" w:rsidRDefault="00B851CD" w:rsidP="00DA187D">
      <w:r>
        <w:t>A</w:t>
      </w:r>
      <w:r w:rsidR="001926FF">
        <w:t>s</w:t>
      </w:r>
      <w:r>
        <w:t xml:space="preserve"> part of the </w:t>
      </w:r>
      <w:r w:rsidR="001926FF">
        <w:t>“catch all” year</w:t>
      </w:r>
      <w:r w:rsidR="00680CE8">
        <w:t xml:space="preserve"> and no specific IO to </w:t>
      </w:r>
      <w:r w:rsidR="00F10BEC">
        <w:t>assess</w:t>
      </w:r>
      <w:r w:rsidR="001926FF">
        <w:t>, some programs</w:t>
      </w:r>
      <w:r w:rsidR="00114BC1">
        <w:t>/departments</w:t>
      </w:r>
      <w:r w:rsidR="001926FF">
        <w:t xml:space="preserve"> </w:t>
      </w:r>
      <w:r w:rsidR="00930750">
        <w:t xml:space="preserve">used the year to close the loop on assessments from </w:t>
      </w:r>
      <w:r w:rsidR="00927C4A">
        <w:t>previous</w:t>
      </w:r>
      <w:r w:rsidR="00930750">
        <w:t xml:space="preserve"> years.</w:t>
      </w:r>
      <w:r w:rsidR="00401CC8">
        <w:t xml:space="preserve">  </w:t>
      </w:r>
      <w:r w:rsidR="00A32046">
        <w:t>Following</w:t>
      </w:r>
      <w:r w:rsidR="00D907FD">
        <w:t xml:space="preserve"> are </w:t>
      </w:r>
      <w:r w:rsidR="006E4C45">
        <w:t>a couple</w:t>
      </w:r>
      <w:r w:rsidR="00D907FD">
        <w:t xml:space="preserve"> examples</w:t>
      </w:r>
      <w:r w:rsidR="00A32046">
        <w:t xml:space="preserve"> from across campus.</w:t>
      </w:r>
      <w:r w:rsidR="00474252">
        <w:t xml:space="preserve">  Between either following up from a previous year or planning to </w:t>
      </w:r>
      <w:r w:rsidR="00F85AA4">
        <w:t xml:space="preserve">close the loop next year, over two thirds of programs/departments made this part of their </w:t>
      </w:r>
      <w:r w:rsidR="00863D92">
        <w:t>report</w:t>
      </w:r>
      <w:r w:rsidR="00F85AA4">
        <w:t>s.</w:t>
      </w:r>
    </w:p>
    <w:p w14:paraId="53625849" w14:textId="3B3CD56B" w:rsidR="00367137" w:rsidRDefault="00F10BEC" w:rsidP="00DA187D">
      <w:r>
        <w:t xml:space="preserve">In the </w:t>
      </w:r>
      <w:r w:rsidR="003B7E39">
        <w:t>Biology</w:t>
      </w:r>
      <w:r>
        <w:t xml:space="preserve"> department, specifically the pre-nursing </w:t>
      </w:r>
      <w:r w:rsidR="003B7E39">
        <w:t xml:space="preserve">series, </w:t>
      </w:r>
      <w:r w:rsidR="00AA50A9">
        <w:t xml:space="preserve">last year’s intervention </w:t>
      </w:r>
      <w:r w:rsidR="00E9228B">
        <w:t xml:space="preserve">in BIOL&amp; 241 of </w:t>
      </w:r>
      <w:r w:rsidR="000735A3">
        <w:t>restructuring unit sequencing in the curriculum</w:t>
      </w:r>
      <w:r w:rsidR="00017146">
        <w:t xml:space="preserve"> was implemented</w:t>
      </w:r>
      <w:r w:rsidR="000735A3">
        <w:t xml:space="preserve"> in BIOL&amp; 242</w:t>
      </w:r>
      <w:r w:rsidR="005974CF">
        <w:t xml:space="preserve"> to help students better understand</w:t>
      </w:r>
      <w:r w:rsidR="00B429E5">
        <w:t xml:space="preserve"> pattern recognition and </w:t>
      </w:r>
      <w:r w:rsidR="005974CF">
        <w:t xml:space="preserve">biological </w:t>
      </w:r>
      <w:r w:rsidR="00B429E5">
        <w:t>feedback loops</w:t>
      </w:r>
      <w:r w:rsidR="005974CF">
        <w:t xml:space="preserve">.  </w:t>
      </w:r>
      <w:r w:rsidR="006367BB">
        <w:t xml:space="preserve">Implemented over two quarters, a </w:t>
      </w:r>
      <w:r w:rsidR="00CD26FB">
        <w:t>year-to-year</w:t>
      </w:r>
      <w:r w:rsidR="006367BB">
        <w:t xml:space="preserve"> comparison showed student learning growth in both lab and lecture as well as overall </w:t>
      </w:r>
      <w:r w:rsidR="005D673F">
        <w:t xml:space="preserve">increased </w:t>
      </w:r>
      <w:r w:rsidR="00D17D3F">
        <w:t>competency of 80%.</w:t>
      </w:r>
      <w:r w:rsidR="00B8546B">
        <w:t xml:space="preserve">  </w:t>
      </w:r>
      <w:r w:rsidR="00C139CD">
        <w:t xml:space="preserve">These changes in curriculum sequencing across </w:t>
      </w:r>
      <w:r w:rsidR="0020226A">
        <w:t xml:space="preserve">the program will </w:t>
      </w:r>
      <w:r w:rsidR="00947A21">
        <w:t>continue</w:t>
      </w:r>
      <w:r w:rsidR="0020226A">
        <w:t>.</w:t>
      </w:r>
    </w:p>
    <w:p w14:paraId="6D9B26DF" w14:textId="6EDF61E0" w:rsidR="00EC3B04" w:rsidRDefault="001E70A3" w:rsidP="00DA187D">
      <w:r>
        <w:t>The Ag program saw</w:t>
      </w:r>
      <w:r w:rsidR="00D7340A">
        <w:t xml:space="preserve"> a gap in student understanding and ability to use </w:t>
      </w:r>
      <w:r w:rsidR="00CD54D6">
        <w:t xml:space="preserve">spreadsheets and </w:t>
      </w:r>
      <w:r w:rsidR="00BB4F59">
        <w:t xml:space="preserve">intervened with </w:t>
      </w:r>
      <w:r w:rsidR="00E80A0B">
        <w:t xml:space="preserve">general and advanced tutorials combined with assessments.  </w:t>
      </w:r>
      <w:r w:rsidR="00460F4E">
        <w:t>The</w:t>
      </w:r>
      <w:r w:rsidR="00947A21">
        <w:t xml:space="preserve">se resulted in students </w:t>
      </w:r>
      <w:r w:rsidR="000F2312">
        <w:t xml:space="preserve">improving </w:t>
      </w:r>
      <w:r w:rsidR="00BA73B9">
        <w:t>Excel skills</w:t>
      </w:r>
      <w:r w:rsidR="003D2107">
        <w:t xml:space="preserve"> </w:t>
      </w:r>
      <w:r w:rsidR="000F2312">
        <w:t>from</w:t>
      </w:r>
      <w:r w:rsidR="00947A21">
        <w:t xml:space="preserve"> around</w:t>
      </w:r>
      <w:r w:rsidR="00CF1555">
        <w:t xml:space="preserve"> 50-60% to</w:t>
      </w:r>
      <w:r w:rsidR="00947A21">
        <w:t xml:space="preserve"> 70-80%</w:t>
      </w:r>
      <w:r w:rsidR="003D2107">
        <w:t>, based upon the assessment rubric used</w:t>
      </w:r>
      <w:r w:rsidR="005117BD">
        <w:t>.  The assessment also showed that this gap in understanding</w:t>
      </w:r>
      <w:r w:rsidR="000F2C88">
        <w:t xml:space="preserve"> is not being addressed before the students get to AGR 120 Introduction to </w:t>
      </w:r>
      <w:r w:rsidR="00392DB7">
        <w:t>Precision</w:t>
      </w:r>
      <w:r w:rsidR="000F2C88">
        <w:t xml:space="preserve"> </w:t>
      </w:r>
      <w:r w:rsidR="00392DB7">
        <w:t>Agriculture</w:t>
      </w:r>
      <w:r w:rsidR="00CF1555">
        <w:t xml:space="preserve">. </w:t>
      </w:r>
      <w:r w:rsidR="00392DB7">
        <w:t xml:space="preserve"> </w:t>
      </w:r>
      <w:r w:rsidR="00CF1555">
        <w:t>T</w:t>
      </w:r>
      <w:r w:rsidR="00392DB7">
        <w:t xml:space="preserve">he program suggests students </w:t>
      </w:r>
      <w:r w:rsidR="007774E1">
        <w:t>first be required to take or pass Business Information Management (BIM) course</w:t>
      </w:r>
      <w:r w:rsidR="00EC3B04">
        <w:t>(s) to be well prepared for the Ag program needs.</w:t>
      </w:r>
    </w:p>
    <w:p w14:paraId="4666BAE7" w14:textId="09B5A3D8" w:rsidR="00E97185" w:rsidRPr="00F80020" w:rsidRDefault="00E97185" w:rsidP="00DA187D">
      <w:r>
        <w:t xml:space="preserve">In the Academic Support department, the </w:t>
      </w:r>
      <w:r w:rsidR="00F67A84">
        <w:t xml:space="preserve">counselors </w:t>
      </w:r>
      <w:r w:rsidR="00173601">
        <w:t>assessed students’</w:t>
      </w:r>
      <w:r w:rsidR="00BF35FF">
        <w:t xml:space="preserve"> understanding of the AA&amp;S DTA (transfer program) diversity requirement</w:t>
      </w:r>
      <w:r w:rsidR="00CD275B">
        <w:t xml:space="preserve"> by surveying </w:t>
      </w:r>
      <w:r w:rsidR="007E67DF">
        <w:t>students during winter</w:t>
      </w:r>
      <w:r w:rsidR="00BF35FF">
        <w:t xml:space="preserve">. </w:t>
      </w:r>
      <w:r w:rsidR="00C40DE1">
        <w:t xml:space="preserve">They found </w:t>
      </w:r>
      <w:r w:rsidR="00C435F3">
        <w:t xml:space="preserve">that most students did know about the requirement and that almost half </w:t>
      </w:r>
      <w:r w:rsidR="00CC2EB6">
        <w:t>had already completed it.  They also found that the most common reason for why students had not completed it was due to scheduling issues</w:t>
      </w:r>
      <w:r w:rsidR="00F020F9">
        <w:t>, followed by students not knowing how to identify which courses fulfill the diversity requirement.</w:t>
      </w:r>
      <w:r w:rsidR="001221A8">
        <w:t xml:space="preserve">  The </w:t>
      </w:r>
      <w:r w:rsidR="00DF02E1">
        <w:t xml:space="preserve">department wants to close the loop on this assessment next year and already started doing so by working with the annual scheduling workgroup </w:t>
      </w:r>
      <w:r w:rsidR="00571C45">
        <w:t>to ensure enough offerings in course selections, modalities, and times.</w:t>
      </w:r>
    </w:p>
    <w:p w14:paraId="1E4CACE8" w14:textId="3BAF1E9C" w:rsidR="00FA0916" w:rsidRDefault="00FA0916" w:rsidP="00062756">
      <w:pPr>
        <w:pStyle w:val="Heading2"/>
      </w:pPr>
      <w:bookmarkStart w:id="5" w:name="_Toc207793311"/>
      <w:r>
        <w:t>Connections to institutional</w:t>
      </w:r>
      <w:r w:rsidR="00AA024F">
        <w:t>/programmatic/departmental</w:t>
      </w:r>
      <w:r>
        <w:t xml:space="preserve"> data</w:t>
      </w:r>
      <w:bookmarkEnd w:id="5"/>
    </w:p>
    <w:p w14:paraId="47749A88" w14:textId="40B85CA6" w:rsidR="003A0825" w:rsidRDefault="00502392" w:rsidP="003A0825">
      <w:r>
        <w:t>At least 12 programs/depar</w:t>
      </w:r>
      <w:r w:rsidR="00FB7F90">
        <w:t>tments</w:t>
      </w:r>
      <w:r w:rsidR="00A82397">
        <w:t xml:space="preserve"> focused on </w:t>
      </w:r>
      <w:r w:rsidR="006F338F">
        <w:t>either connecting to institutional</w:t>
      </w:r>
      <w:r w:rsidR="00FB7F90">
        <w:t>/</w:t>
      </w:r>
      <w:r w:rsidR="006F338F">
        <w:t>program</w:t>
      </w:r>
      <w:r w:rsidR="00162298">
        <w:t>matic</w:t>
      </w:r>
      <w:r w:rsidR="006F338F">
        <w:t>/departmental data</w:t>
      </w:r>
      <w:r w:rsidR="00FB7F90">
        <w:t xml:space="preserve"> or </w:t>
      </w:r>
      <w:r w:rsidR="0000017E">
        <w:t>goals</w:t>
      </w:r>
      <w:r w:rsidR="00FB7F90">
        <w:t xml:space="preserve">. </w:t>
      </w:r>
      <w:r w:rsidR="00114BC1">
        <w:t xml:space="preserve"> </w:t>
      </w:r>
      <w:r w:rsidR="001B2A0A">
        <w:t xml:space="preserve">Around one quarter of the programs/departments explicitly focused their assessments on </w:t>
      </w:r>
      <w:r w:rsidR="4C54A7ED">
        <w:t>achievement</w:t>
      </w:r>
      <w:r w:rsidR="001B2A0A">
        <w:t xml:space="preserve"> gaps in their program/department.  This extended the trend that the institution has been moving toward over the past few years both in terms of assessing for improvement rather than </w:t>
      </w:r>
      <w:r w:rsidR="1CBE0B75">
        <w:t>compliance</w:t>
      </w:r>
      <w:r w:rsidR="001B2A0A">
        <w:t xml:space="preserve"> </w:t>
      </w:r>
      <w:r w:rsidR="001B2A0A">
        <w:lastRenderedPageBreak/>
        <w:t xml:space="preserve">as well as </w:t>
      </w:r>
      <w:r w:rsidR="00A87CCE">
        <w:t>using data</w:t>
      </w:r>
      <w:r w:rsidR="00EC7E39">
        <w:t xml:space="preserve"> to find </w:t>
      </w:r>
      <w:r w:rsidR="5A79B897">
        <w:t xml:space="preserve">achievement </w:t>
      </w:r>
      <w:r w:rsidR="008C51A1">
        <w:t xml:space="preserve">gaps to </w:t>
      </w:r>
      <w:r w:rsidR="00EC7E39">
        <w:t>inform assessment plans</w:t>
      </w:r>
      <w:r w:rsidR="001B2A0A">
        <w:t>.  Following are a variety of program/department highlights.</w:t>
      </w:r>
    </w:p>
    <w:p w14:paraId="19543EA7" w14:textId="0727FF65" w:rsidR="00DD2B6E" w:rsidRDefault="00713608" w:rsidP="00EB52AD">
      <w:r>
        <w:t xml:space="preserve">The Philosophy department looked at the </w:t>
      </w:r>
      <w:r w:rsidR="00EB2D7A">
        <w:t>gap</w:t>
      </w:r>
      <w:r w:rsidR="00382A2A">
        <w:t xml:space="preserve"> between Hispanic and overall students</w:t>
      </w:r>
      <w:r w:rsidR="00EB2D7A">
        <w:t xml:space="preserve"> in success </w:t>
      </w:r>
      <w:r w:rsidR="00382A2A">
        <w:t>of the</w:t>
      </w:r>
      <w:r w:rsidR="00EB2D7A">
        <w:t xml:space="preserve"> PHIL 210 Ethics</w:t>
      </w:r>
      <w:r w:rsidR="00382A2A">
        <w:t xml:space="preserve"> course</w:t>
      </w:r>
      <w:r w:rsidR="00D50AB9">
        <w:t xml:space="preserve"> </w:t>
      </w:r>
      <w:r w:rsidR="00604EAC">
        <w:t xml:space="preserve">and </w:t>
      </w:r>
      <w:r w:rsidR="009B19E9">
        <w:t>chose an intervention</w:t>
      </w:r>
      <w:r w:rsidR="00F82A37">
        <w:t xml:space="preserve"> of</w:t>
      </w:r>
      <w:r w:rsidR="00604EAC">
        <w:t xml:space="preserve"> </w:t>
      </w:r>
      <w:r w:rsidR="00F82A37">
        <w:t xml:space="preserve">changing the time class was offered while </w:t>
      </w:r>
      <w:r w:rsidR="00604EAC">
        <w:t>keeping hybrid modality the same</w:t>
      </w:r>
      <w:r w:rsidR="009B19E9">
        <w:t>.</w:t>
      </w:r>
      <w:r w:rsidR="00F82A37">
        <w:t xml:space="preserve">  </w:t>
      </w:r>
      <w:r w:rsidR="001C0E62">
        <w:t>Th</w:t>
      </w:r>
      <w:r w:rsidR="001A0EC5">
        <w:t xml:space="preserve">e success rates increased </w:t>
      </w:r>
      <w:proofErr w:type="gramStart"/>
      <w:r w:rsidR="001A0EC5">
        <w:t xml:space="preserve">fairly </w:t>
      </w:r>
      <w:r w:rsidR="00CC1321">
        <w:t>significantly</w:t>
      </w:r>
      <w:proofErr w:type="gramEnd"/>
      <w:r w:rsidR="001A0EC5">
        <w:t xml:space="preserve"> for both Hispanic and overall students</w:t>
      </w:r>
      <w:r w:rsidR="00CC1321">
        <w:t xml:space="preserve"> over the past couple years </w:t>
      </w:r>
      <w:r w:rsidR="00FB20FB">
        <w:t>with this year 100%</w:t>
      </w:r>
      <w:r w:rsidR="00F13931">
        <w:t xml:space="preserve"> of Hispanic students and 96% of overall student</w:t>
      </w:r>
      <w:r w:rsidR="00722F68">
        <w:t>s passing.  Though it is not entirely clear that the change in time</w:t>
      </w:r>
      <w:r w:rsidR="00D846FA">
        <w:t xml:space="preserve"> the class was offered was the main factor, the department has decided to try offering all philosophy seminar courses in the mornings</w:t>
      </w:r>
      <w:r w:rsidR="00A01D99">
        <w:t xml:space="preserve"> to see if similar improvements occur</w:t>
      </w:r>
      <w:r w:rsidR="00D846FA">
        <w:t>.</w:t>
      </w:r>
    </w:p>
    <w:p w14:paraId="38B11283" w14:textId="7BC7220F" w:rsidR="00DF2DB0" w:rsidRDefault="00DD2B6E" w:rsidP="00FC6C43">
      <w:r>
        <w:t>When looking at programmatic data</w:t>
      </w:r>
      <w:r w:rsidR="007D4CBB">
        <w:t xml:space="preserve"> from the previous year</w:t>
      </w:r>
      <w:r>
        <w:t xml:space="preserve">, the </w:t>
      </w:r>
      <w:proofErr w:type="gramStart"/>
      <w:r>
        <w:t>Accounting</w:t>
      </w:r>
      <w:proofErr w:type="gramEnd"/>
      <w:r>
        <w:t xml:space="preserve"> program saw an </w:t>
      </w:r>
      <w:r w:rsidR="55EECD22">
        <w:t>achievement</w:t>
      </w:r>
      <w:r>
        <w:t xml:space="preserve"> gap in their economically disadvantaged students.  This year in the ACCT 262 course, a comprehensive project was added as an intervention near the end of the quarter to help students synthesize their learning.  This led to student growth as shown in the comprehensive final averag</w:t>
      </w:r>
      <w:r w:rsidR="007D4CBB">
        <w:t>es increas</w:t>
      </w:r>
      <w:r w:rsidR="00834F84">
        <w:t>ing</w:t>
      </w:r>
      <w:r>
        <w:t xml:space="preserve"> from 83% to 90%.  The program plans to continue using the comprehensive project</w:t>
      </w:r>
      <w:r w:rsidR="00834F84">
        <w:t xml:space="preserve"> in ACCT 262</w:t>
      </w:r>
      <w:r>
        <w:t xml:space="preserve"> and, as appropriate, include them throughout the program.</w:t>
      </w:r>
    </w:p>
    <w:p w14:paraId="46D485CB" w14:textId="16726370" w:rsidR="00DF2DB0" w:rsidRDefault="00BF0F83" w:rsidP="00FC6C43">
      <w:r>
        <w:t xml:space="preserve">The Physics department looked at the </w:t>
      </w:r>
      <w:r w:rsidR="5571BCC8">
        <w:t>achievement</w:t>
      </w:r>
      <w:r>
        <w:t xml:space="preserve"> gap </w:t>
      </w:r>
      <w:r w:rsidR="007F103F">
        <w:t>in passing rates</w:t>
      </w:r>
      <w:r w:rsidR="00487C99">
        <w:t xml:space="preserve"> of PHYS&amp; 221</w:t>
      </w:r>
      <w:r>
        <w:t>between Running Start (RS) and non-RS students</w:t>
      </w:r>
      <w:r w:rsidR="0058692A">
        <w:t xml:space="preserve"> and hypothesized that </w:t>
      </w:r>
      <w:r w:rsidR="003F7AE4">
        <w:t>concurrent enrollment and learning of M</w:t>
      </w:r>
      <w:r w:rsidR="00D85FDE">
        <w:t>ATH&amp; 151 Calculus I was a key issue</w:t>
      </w:r>
      <w:r w:rsidR="00487C99">
        <w:t xml:space="preserve">.  </w:t>
      </w:r>
      <w:r w:rsidR="00866722">
        <w:t xml:space="preserve">The department intervened by adapting the </w:t>
      </w:r>
      <w:r w:rsidR="00541D69">
        <w:t xml:space="preserve">weekly homework assignments to focus </w:t>
      </w:r>
      <w:r w:rsidR="0058692A">
        <w:t>beyond applied calculus and algebra skills</w:t>
      </w:r>
      <w:r w:rsidR="00383EA4">
        <w:t xml:space="preserve"> and </w:t>
      </w:r>
      <w:r w:rsidR="00062EFA">
        <w:t>adding</w:t>
      </w:r>
      <w:r w:rsidR="00383EA4">
        <w:t xml:space="preserve"> context-rich problems.</w:t>
      </w:r>
      <w:r w:rsidR="00152633">
        <w:t xml:space="preserve">  While this did not close the</w:t>
      </w:r>
      <w:r w:rsidR="00B718C7">
        <w:t xml:space="preserve"> </w:t>
      </w:r>
      <w:r w:rsidR="373BA701">
        <w:t>achievement</w:t>
      </w:r>
      <w:r w:rsidR="00D72317">
        <w:t xml:space="preserve"> gap this year, it was still beneficial for students</w:t>
      </w:r>
      <w:r w:rsidR="00B774ED">
        <w:t xml:space="preserve"> as they were better able to </w:t>
      </w:r>
      <w:r w:rsidR="00C72F4E">
        <w:t>make sense of and connect the math with the physical phenomena,</w:t>
      </w:r>
      <w:r w:rsidR="00D72317">
        <w:t xml:space="preserve"> and the department plans on </w:t>
      </w:r>
      <w:r w:rsidR="003C67B7">
        <w:t>closing the loop ne</w:t>
      </w:r>
      <w:r w:rsidR="00834F84">
        <w:t>x</w:t>
      </w:r>
      <w:r w:rsidR="003C67B7">
        <w:t>t year by including more scaffolding and teaching of expectations.</w:t>
      </w:r>
    </w:p>
    <w:p w14:paraId="76DED01C" w14:textId="29AFC336" w:rsidR="00393615" w:rsidRDefault="00173955" w:rsidP="00FC6C43">
      <w:r>
        <w:t xml:space="preserve">The </w:t>
      </w:r>
      <w:r w:rsidR="00FE0581">
        <w:t>A</w:t>
      </w:r>
      <w:r>
        <w:t xml:space="preserve">viation program </w:t>
      </w:r>
      <w:r w:rsidR="00731349">
        <w:t xml:space="preserve">continued previous assessment work focused on gaps in </w:t>
      </w:r>
      <w:r w:rsidR="00C97D30">
        <w:t>program enrollment</w:t>
      </w:r>
      <w:r w:rsidR="00834F84">
        <w:t>,</w:t>
      </w:r>
      <w:r w:rsidR="00C97D30">
        <w:t xml:space="preserve"> success rates</w:t>
      </w:r>
      <w:r w:rsidR="00834F84">
        <w:t>,</w:t>
      </w:r>
      <w:r w:rsidR="00C97D30">
        <w:t xml:space="preserve"> and </w:t>
      </w:r>
      <w:r w:rsidR="004730A1">
        <w:t xml:space="preserve">time to completion between Historically </w:t>
      </w:r>
      <w:r w:rsidR="00D236B4">
        <w:t xml:space="preserve">Underrepresented Groups (HUG) and non-HUG students.  </w:t>
      </w:r>
      <w:r w:rsidR="00991C75">
        <w:t xml:space="preserve">Over this multi-year assessment and report, the program </w:t>
      </w:r>
      <w:r w:rsidR="000B2211">
        <w:t>found that</w:t>
      </w:r>
      <w:r w:rsidR="00FB2150">
        <w:t xml:space="preserve"> in</w:t>
      </w:r>
      <w:r w:rsidR="000B2211">
        <w:t xml:space="preserve"> the past couple years the </w:t>
      </w:r>
      <w:r w:rsidR="00797148">
        <w:t>gap widened</w:t>
      </w:r>
      <w:r w:rsidR="00E12529">
        <w:t xml:space="preserve"> and has steadily decreased </w:t>
      </w:r>
      <w:r w:rsidR="003E068A">
        <w:t xml:space="preserve">with this year 100% of AVF 252 stage 5 completion!  </w:t>
      </w:r>
      <w:r w:rsidR="002A5CBA">
        <w:t xml:space="preserve">Moreover, both AVF 252 and 253 saw </w:t>
      </w:r>
      <w:r w:rsidR="00594ED1">
        <w:t>large reductions in time to completion</w:t>
      </w:r>
      <w:r w:rsidR="00FB2150">
        <w:t xml:space="preserve"> (30% and 70%, respectively)</w:t>
      </w:r>
      <w:r w:rsidR="00594ED1">
        <w:t xml:space="preserve">.  </w:t>
      </w:r>
      <w:r w:rsidR="00EA2F2E">
        <w:t xml:space="preserve">By </w:t>
      </w:r>
      <w:r w:rsidR="00FB2150">
        <w:t xml:space="preserve">the </w:t>
      </w:r>
      <w:r w:rsidR="00EA2F2E">
        <w:t xml:space="preserve">end of </w:t>
      </w:r>
      <w:r w:rsidR="00334EDF">
        <w:t xml:space="preserve">AVF </w:t>
      </w:r>
      <w:r w:rsidR="00EA2F2E">
        <w:t xml:space="preserve">253, the program saw </w:t>
      </w:r>
      <w:r w:rsidR="005412A0">
        <w:t>roughly equal success rates between H</w:t>
      </w:r>
      <w:r w:rsidR="00FB2150">
        <w:t>UG</w:t>
      </w:r>
      <w:r w:rsidR="005412A0">
        <w:t xml:space="preserve"> and non-HUG students coupled with </w:t>
      </w:r>
      <w:r w:rsidR="00FB2150">
        <w:t xml:space="preserve">a </w:t>
      </w:r>
      <w:r w:rsidR="005412A0">
        <w:t>greater number of HUG students.</w:t>
      </w:r>
    </w:p>
    <w:p w14:paraId="20A46DFD" w14:textId="6A93EAF6" w:rsidR="00DE55E6" w:rsidRDefault="00E2397B" w:rsidP="00E2397B">
      <w:pPr>
        <w:pStyle w:val="Heading1"/>
      </w:pPr>
      <w:bookmarkStart w:id="6" w:name="_Toc207793312"/>
      <w:r>
        <w:lastRenderedPageBreak/>
        <w:t>Reflection and Response to Faculty Assessment Reports</w:t>
      </w:r>
      <w:bookmarkEnd w:id="6"/>
    </w:p>
    <w:p w14:paraId="2E16C72D" w14:textId="33A28F6C" w:rsidR="00EC5906" w:rsidRDefault="000C769E" w:rsidP="00E2397B">
      <w:r>
        <w:t xml:space="preserve">BBCC </w:t>
      </w:r>
      <w:r w:rsidR="00A97C19">
        <w:t xml:space="preserve">made great </w:t>
      </w:r>
      <w:r w:rsidR="0077522A">
        <w:t>progress</w:t>
      </w:r>
      <w:r w:rsidR="00E2397B">
        <w:t xml:space="preserve"> towards program</w:t>
      </w:r>
      <w:r w:rsidR="00871442">
        <w:t>matic</w:t>
      </w:r>
      <w:r w:rsidR="007F37EE">
        <w:t>/departmental</w:t>
      </w:r>
      <w:r w:rsidR="00E2397B">
        <w:t xml:space="preserve"> level reflection</w:t>
      </w:r>
      <w:r w:rsidR="007F37EE">
        <w:t xml:space="preserve">, </w:t>
      </w:r>
      <w:r w:rsidR="00E2397B">
        <w:t>analysis</w:t>
      </w:r>
      <w:r w:rsidR="007F37EE">
        <w:t>,</w:t>
      </w:r>
      <w:r w:rsidR="00E2397B">
        <w:t xml:space="preserve"> and response</w:t>
      </w:r>
      <w:r w:rsidR="007F37EE">
        <w:t>.</w:t>
      </w:r>
      <w:r w:rsidR="00472927">
        <w:t xml:space="preserve">  </w:t>
      </w:r>
      <w:r w:rsidR="008B6307">
        <w:t>Furthermore,</w:t>
      </w:r>
      <w:r w:rsidR="0077522A">
        <w:t xml:space="preserve"> as hoped, </w:t>
      </w:r>
      <w:r w:rsidR="00073A52">
        <w:t>since onl</w:t>
      </w:r>
      <w:r w:rsidR="00FB2150">
        <w:t>y courses</w:t>
      </w:r>
      <w:r w:rsidR="00073A52">
        <w:t xml:space="preserve"> that best </w:t>
      </w:r>
      <w:r w:rsidR="00CE2E82">
        <w:t xml:space="preserve">address </w:t>
      </w:r>
      <w:r w:rsidR="5404F7B6">
        <w:t>a program</w:t>
      </w:r>
      <w:r w:rsidR="00CE2E82">
        <w:t xml:space="preserve"> outcome are needed to be assessed over the next seven years, it streamline</w:t>
      </w:r>
      <w:r w:rsidR="0077522A">
        <w:t>d</w:t>
      </w:r>
      <w:r w:rsidR="00CE2E82">
        <w:t xml:space="preserve"> and </w:t>
      </w:r>
      <w:r w:rsidR="00EC5906">
        <w:t>simplif</w:t>
      </w:r>
      <w:r w:rsidR="0077522A">
        <w:t>ied</w:t>
      </w:r>
      <w:r w:rsidR="00EC5906">
        <w:t xml:space="preserve"> assessment for programs/departments.  This should allow them to better focus on </w:t>
      </w:r>
      <w:r w:rsidR="00400301">
        <w:t>assessing at the program/departmental level rather than course level.</w:t>
      </w:r>
      <w:r w:rsidR="00D10B21">
        <w:t xml:space="preserve">  </w:t>
      </w:r>
    </w:p>
    <w:p w14:paraId="783B4F19" w14:textId="6FE9551D" w:rsidR="00871442" w:rsidRDefault="00871442" w:rsidP="00871442">
      <w:r>
        <w:t xml:space="preserve">Also, the logistical changes to the assessment database for submitting reports that were made </w:t>
      </w:r>
      <w:r w:rsidR="00FB2150">
        <w:t xml:space="preserve">this year </w:t>
      </w:r>
      <w:r>
        <w:t xml:space="preserve">did make the submission, compilation, and analysis of the reports much easier.  We will continue to use the new format this coming year. </w:t>
      </w:r>
    </w:p>
    <w:p w14:paraId="728572AA" w14:textId="52959B5C" w:rsidR="008B6307" w:rsidRDefault="00DD2995" w:rsidP="00E2397B">
      <w:r>
        <w:t>Th</w:t>
      </w:r>
      <w:r w:rsidR="00871442">
        <w:t>e</w:t>
      </w:r>
      <w:r>
        <w:t xml:space="preserve"> move to focus on </w:t>
      </w:r>
      <w:r w:rsidR="00D546EF">
        <w:t>program</w:t>
      </w:r>
      <w:r w:rsidR="00871442">
        <w:t>matic</w:t>
      </w:r>
      <w:r w:rsidR="00D546EF">
        <w:t xml:space="preserve">/departmental level assessment instead of course level </w:t>
      </w:r>
      <w:r w:rsidR="00C0407E">
        <w:t xml:space="preserve">might have distracted faculty </w:t>
      </w:r>
      <w:r w:rsidR="002755E4">
        <w:t xml:space="preserve">in the writing of the reports </w:t>
      </w:r>
      <w:r w:rsidR="00C0407E">
        <w:t>from clearly assessing for improvement rather than just comp</w:t>
      </w:r>
      <w:r w:rsidR="32392DF1">
        <w:t>liance</w:t>
      </w:r>
      <w:r w:rsidR="00C0407E">
        <w:t xml:space="preserve">.  </w:t>
      </w:r>
      <w:r w:rsidR="00C42866">
        <w:t xml:space="preserve">In addition, we need faculty to make it explicitly clear </w:t>
      </w:r>
      <w:r w:rsidR="002755E4">
        <w:t xml:space="preserve">in the report </w:t>
      </w:r>
      <w:r w:rsidR="00C42866">
        <w:t>what their intervention was</w:t>
      </w:r>
      <w:r w:rsidR="008B6307">
        <w:t xml:space="preserve">.  </w:t>
      </w:r>
      <w:r w:rsidR="00C0407E">
        <w:t>Th</w:t>
      </w:r>
      <w:r w:rsidR="008B6307">
        <w:t>ese</w:t>
      </w:r>
      <w:r w:rsidR="00C0407E">
        <w:t xml:space="preserve"> </w:t>
      </w:r>
      <w:r w:rsidR="008B6307">
        <w:t xml:space="preserve">had been focused on in previous years and </w:t>
      </w:r>
      <w:r w:rsidR="00C0407E">
        <w:t xml:space="preserve">can be re-emphasized this coming year.  </w:t>
      </w:r>
      <w:r w:rsidR="00400148">
        <w:t xml:space="preserve"> </w:t>
      </w:r>
    </w:p>
    <w:p w14:paraId="187BB458" w14:textId="16D6DECB" w:rsidR="00DD2995" w:rsidRDefault="000B15DB" w:rsidP="00E2397B">
      <w:r>
        <w:t xml:space="preserve">After this year’s assessment </w:t>
      </w:r>
      <w:r w:rsidR="001B133C">
        <w:t>reports</w:t>
      </w:r>
      <w:r>
        <w:t xml:space="preserve"> were submitted, a small group of </w:t>
      </w:r>
      <w:proofErr w:type="gramStart"/>
      <w:r>
        <w:t>faculty</w:t>
      </w:r>
      <w:proofErr w:type="gramEnd"/>
      <w:r>
        <w:t xml:space="preserve"> and administrators </w:t>
      </w:r>
      <w:r w:rsidR="00FF7A44">
        <w:t xml:space="preserve">provided feedback </w:t>
      </w:r>
      <w:r w:rsidR="009B4B1A">
        <w:t xml:space="preserve">recognizing and </w:t>
      </w:r>
      <w:r w:rsidR="00FF7A44">
        <w:t>encouraging these changes</w:t>
      </w:r>
      <w:r w:rsidR="002E02BF">
        <w:t>.</w:t>
      </w:r>
      <w:r w:rsidR="001D4BCD">
        <w:t xml:space="preserve">  </w:t>
      </w:r>
      <w:r w:rsidR="0095685B">
        <w:t>This coming school year</w:t>
      </w:r>
      <w:r w:rsidR="005A1207">
        <w:t xml:space="preserve"> there will be</w:t>
      </w:r>
      <w:r w:rsidR="005D2354">
        <w:t xml:space="preserve"> more specific </w:t>
      </w:r>
      <w:r w:rsidR="007E67F7">
        <w:t>inst</w:t>
      </w:r>
      <w:r w:rsidR="00A0709F">
        <w:t>itutional and instructional</w:t>
      </w:r>
      <w:r w:rsidR="007E67F7">
        <w:t xml:space="preserve"> assessment focus</w:t>
      </w:r>
      <w:r w:rsidR="006E4672">
        <w:t xml:space="preserve"> on IO 1</w:t>
      </w:r>
      <w:r w:rsidR="007E67F7">
        <w:t xml:space="preserve"> </w:t>
      </w:r>
      <w:r w:rsidR="006E4672">
        <w:t xml:space="preserve">which will </w:t>
      </w:r>
      <w:r w:rsidR="007E67F7">
        <w:t xml:space="preserve">hopefully </w:t>
      </w:r>
      <w:r w:rsidR="006E4672">
        <w:t>mean</w:t>
      </w:r>
      <w:r w:rsidR="00D5233D">
        <w:t xml:space="preserve"> assessing for improvement will</w:t>
      </w:r>
      <w:r w:rsidR="007E67F7">
        <w:t xml:space="preserve"> </w:t>
      </w:r>
      <w:r w:rsidR="00C12D3B">
        <w:t>occur more naturally</w:t>
      </w:r>
      <w:r w:rsidR="00D5233D">
        <w:t xml:space="preserve"> and</w:t>
      </w:r>
      <w:r w:rsidR="00944B66">
        <w:t xml:space="preserve"> be communicated more explicitly in the reports</w:t>
      </w:r>
      <w:r w:rsidR="00C12D3B">
        <w:t xml:space="preserve">.  </w:t>
      </w:r>
    </w:p>
    <w:p w14:paraId="471D4670" w14:textId="77777777" w:rsidR="00C45F73" w:rsidRDefault="00C45F73" w:rsidP="00C45F73">
      <w:pPr>
        <w:pStyle w:val="Heading1"/>
      </w:pPr>
      <w:bookmarkStart w:id="7" w:name="_Toc207793313"/>
      <w:r w:rsidRPr="001D6009">
        <w:t>Goals and Direction for the Future</w:t>
      </w:r>
      <w:bookmarkEnd w:id="7"/>
      <w:r>
        <w:t xml:space="preserve"> </w:t>
      </w:r>
    </w:p>
    <w:p w14:paraId="2F9D0D99" w14:textId="7DC7C86E" w:rsidR="00123939" w:rsidRDefault="005428F5" w:rsidP="00C45F73">
      <w:r w:rsidRPr="00E81C93">
        <w:rPr>
          <w:b/>
          <w:bCs/>
        </w:rPr>
        <w:t>Assessment focus for 202</w:t>
      </w:r>
      <w:r w:rsidR="00687ED4">
        <w:rPr>
          <w:b/>
          <w:bCs/>
        </w:rPr>
        <w:t>5</w:t>
      </w:r>
      <w:r w:rsidRPr="00E81C93">
        <w:rPr>
          <w:b/>
          <w:bCs/>
        </w:rPr>
        <w:t>-202</w:t>
      </w:r>
      <w:r w:rsidR="00687ED4">
        <w:rPr>
          <w:b/>
          <w:bCs/>
        </w:rPr>
        <w:t>6</w:t>
      </w:r>
      <w:r w:rsidRPr="00E81C93">
        <w:rPr>
          <w:b/>
          <w:bCs/>
        </w:rPr>
        <w:t xml:space="preserve"> school year:</w:t>
      </w:r>
      <w:r>
        <w:t xml:space="preserve"> </w:t>
      </w:r>
      <w:r w:rsidR="00D9553E">
        <w:t xml:space="preserve">This will be the first of two consecutive years with a </w:t>
      </w:r>
      <w:r w:rsidR="000A4A7D">
        <w:t>campus</w:t>
      </w:r>
      <w:r w:rsidR="00D9553E">
        <w:t xml:space="preserve"> wide focus on IO 1</w:t>
      </w:r>
      <w:r w:rsidR="00BE3D0E">
        <w:t xml:space="preserve">.  Based upon campus qualitative data from this past year, there is special focus on </w:t>
      </w:r>
      <w:r w:rsidR="000A4A7D">
        <w:t>academic vocabulary and the integration of AI.</w:t>
      </w:r>
      <w:r w:rsidR="00DF5948">
        <w:t xml:space="preserve">  In addition, there is still </w:t>
      </w:r>
      <w:r w:rsidR="00AA5298">
        <w:t xml:space="preserve">a </w:t>
      </w:r>
      <w:r w:rsidR="00DF5948">
        <w:t xml:space="preserve">need to encourage </w:t>
      </w:r>
      <w:r w:rsidR="00582219">
        <w:t xml:space="preserve">assessments to focus </w:t>
      </w:r>
      <w:r w:rsidR="00FA4281">
        <w:t>on</w:t>
      </w:r>
      <w:r w:rsidR="00582219">
        <w:t xml:space="preserve"> </w:t>
      </w:r>
      <w:r w:rsidR="00FA4281">
        <w:t xml:space="preserve">assessing at </w:t>
      </w:r>
      <w:r w:rsidR="00582219">
        <w:t xml:space="preserve">the programmatic/departmental level, </w:t>
      </w:r>
      <w:r w:rsidR="00FA4281">
        <w:t xml:space="preserve">assessing for </w:t>
      </w:r>
      <w:r w:rsidR="00582219">
        <w:t xml:space="preserve">student improvement, and </w:t>
      </w:r>
      <w:r w:rsidR="00643947">
        <w:t>making the</w:t>
      </w:r>
      <w:r w:rsidR="00AA5298">
        <w:t xml:space="preserve"> </w:t>
      </w:r>
      <w:r w:rsidR="00643947">
        <w:t>interventions clear in</w:t>
      </w:r>
      <w:r w:rsidR="00AA5298">
        <w:t xml:space="preserve"> writing the reports.</w:t>
      </w:r>
    </w:p>
    <w:p w14:paraId="7BAD379F" w14:textId="50760358" w:rsidR="00EC5F5E" w:rsidRDefault="00E92E5C" w:rsidP="00E92E5C">
      <w:r w:rsidRPr="276EA22E">
        <w:rPr>
          <w:b/>
          <w:bCs/>
        </w:rPr>
        <w:t xml:space="preserve">Goals for </w:t>
      </w:r>
      <w:r w:rsidR="00EC5F5E" w:rsidRPr="276EA22E">
        <w:rPr>
          <w:b/>
          <w:bCs/>
        </w:rPr>
        <w:t>F</w:t>
      </w:r>
      <w:r w:rsidR="00C45F73" w:rsidRPr="276EA22E">
        <w:rPr>
          <w:b/>
          <w:bCs/>
        </w:rPr>
        <w:t>aculty</w:t>
      </w:r>
      <w:r w:rsidRPr="276EA22E">
        <w:rPr>
          <w:b/>
          <w:bCs/>
        </w:rPr>
        <w:t>:</w:t>
      </w:r>
      <w:r w:rsidR="00EC5F5E">
        <w:t xml:space="preserve"> </w:t>
      </w:r>
      <w:r w:rsidR="00470754">
        <w:t xml:space="preserve">These remain </w:t>
      </w:r>
      <w:r w:rsidR="00611F0A">
        <w:t>relatively unchanged</w:t>
      </w:r>
      <w:r w:rsidR="00470754">
        <w:t xml:space="preserve">.  </w:t>
      </w:r>
      <w:r w:rsidR="00611F0A">
        <w:t>R</w:t>
      </w:r>
      <w:r w:rsidR="004971C2">
        <w:t xml:space="preserve">eflect on assessment </w:t>
      </w:r>
      <w:r w:rsidR="00DA5E73">
        <w:t xml:space="preserve">feedback </w:t>
      </w:r>
      <w:r w:rsidR="00727DEF">
        <w:t xml:space="preserve">and </w:t>
      </w:r>
      <w:r w:rsidR="000A5CAA">
        <w:t>continue to assess for improvement</w:t>
      </w:r>
      <w:r w:rsidR="00727DEF">
        <w:t xml:space="preserve">. </w:t>
      </w:r>
      <w:r w:rsidR="000A5CAA">
        <w:t xml:space="preserve"> </w:t>
      </w:r>
      <w:r w:rsidR="00611F0A">
        <w:t>Continue to m</w:t>
      </w:r>
      <w:r w:rsidR="00791151">
        <w:t>ake use of campus data i</w:t>
      </w:r>
      <w:r w:rsidR="00727DEF">
        <w:t>n designing assessment plans for the program/department</w:t>
      </w:r>
      <w:r w:rsidR="004F69F5">
        <w:t xml:space="preserve"> by i</w:t>
      </w:r>
      <w:r w:rsidR="009C5454">
        <w:t>dentify</w:t>
      </w:r>
      <w:r w:rsidR="004F69F5">
        <w:t>ing</w:t>
      </w:r>
      <w:r w:rsidR="009C5454">
        <w:t xml:space="preserve"> an </w:t>
      </w:r>
      <w:r w:rsidR="1885ED83">
        <w:t xml:space="preserve">achievement </w:t>
      </w:r>
      <w:r w:rsidR="009C5454">
        <w:t>gap to focus on</w:t>
      </w:r>
      <w:r w:rsidR="004F69F5">
        <w:t xml:space="preserve"> and</w:t>
      </w:r>
      <w:r w:rsidR="009C5454">
        <w:t xml:space="preserve"> try to intentionally synthesize work with Program Audit to make it</w:t>
      </w:r>
      <w:r w:rsidR="004F69F5">
        <w:t xml:space="preserve"> more</w:t>
      </w:r>
      <w:r w:rsidR="009C5454">
        <w:t xml:space="preserve"> meaningful</w:t>
      </w:r>
      <w:r w:rsidR="004F69F5">
        <w:t xml:space="preserve">. </w:t>
      </w:r>
      <w:r w:rsidR="009C5454">
        <w:t xml:space="preserve"> </w:t>
      </w:r>
      <w:r w:rsidR="00791151">
        <w:t xml:space="preserve">Improve </w:t>
      </w:r>
      <w:r w:rsidR="00D53A1F">
        <w:t xml:space="preserve">connecting assessment to </w:t>
      </w:r>
      <w:r w:rsidR="0070604D">
        <w:t>clos</w:t>
      </w:r>
      <w:r w:rsidR="00D53A1F">
        <w:t>ing</w:t>
      </w:r>
      <w:r w:rsidR="0070604D">
        <w:t xml:space="preserve"> the loop</w:t>
      </w:r>
      <w:r w:rsidR="00D53A1F">
        <w:t xml:space="preserve"> year to year</w:t>
      </w:r>
      <w:r w:rsidR="0070604D">
        <w:t xml:space="preserve">, </w:t>
      </w:r>
      <w:r w:rsidR="00D53A1F">
        <w:t xml:space="preserve">addressing </w:t>
      </w:r>
      <w:r w:rsidR="0070604D">
        <w:t>budget</w:t>
      </w:r>
      <w:r w:rsidR="00D53A1F">
        <w:t>ary</w:t>
      </w:r>
      <w:r w:rsidR="009C5454">
        <w:t xml:space="preserve"> needs, professional development, or other ways </w:t>
      </w:r>
      <w:r w:rsidR="0070604D">
        <w:t>admin can help</w:t>
      </w:r>
      <w:r w:rsidR="009C5454">
        <w:t xml:space="preserve">. </w:t>
      </w:r>
      <w:r w:rsidR="00D9633B">
        <w:t xml:space="preserve"> </w:t>
      </w:r>
    </w:p>
    <w:p w14:paraId="5BA04933" w14:textId="08F999A4" w:rsidR="00EC5F5E" w:rsidRDefault="004F69F5" w:rsidP="004F69F5">
      <w:r w:rsidRPr="00AF0719">
        <w:rPr>
          <w:b/>
          <w:bCs/>
        </w:rPr>
        <w:lastRenderedPageBreak/>
        <w:t xml:space="preserve">Goals for the </w:t>
      </w:r>
      <w:r w:rsidR="00EC5F5E" w:rsidRPr="00AF0719">
        <w:rPr>
          <w:b/>
          <w:bCs/>
        </w:rPr>
        <w:t>A</w:t>
      </w:r>
      <w:r w:rsidRPr="00AF0719">
        <w:rPr>
          <w:b/>
          <w:bCs/>
        </w:rPr>
        <w:t xml:space="preserve">ssessment </w:t>
      </w:r>
      <w:r w:rsidR="00EC5F5E" w:rsidRPr="00AF0719">
        <w:rPr>
          <w:b/>
          <w:bCs/>
        </w:rPr>
        <w:t>C</w:t>
      </w:r>
      <w:r w:rsidRPr="00AF0719">
        <w:rPr>
          <w:b/>
          <w:bCs/>
        </w:rPr>
        <w:t>ommittee</w:t>
      </w:r>
      <w:r w:rsidR="00AF0719" w:rsidRPr="00AF0719">
        <w:rPr>
          <w:b/>
          <w:bCs/>
        </w:rPr>
        <w:t>:</w:t>
      </w:r>
      <w:r w:rsidR="00AF0719">
        <w:t xml:space="preserve"> </w:t>
      </w:r>
      <w:r w:rsidR="000C57BD">
        <w:t>C</w:t>
      </w:r>
      <w:r w:rsidR="0070604D">
        <w:t xml:space="preserve">ontinue </w:t>
      </w:r>
      <w:r w:rsidR="00AF0719">
        <w:t xml:space="preserve">providing </w:t>
      </w:r>
      <w:r w:rsidR="00F169EC">
        <w:t>one-on-one support</w:t>
      </w:r>
      <w:r w:rsidR="00AF0719">
        <w:t xml:space="preserve"> with the faculty in their respective areas</w:t>
      </w:r>
      <w:r w:rsidR="00841632">
        <w:t xml:space="preserve"> and</w:t>
      </w:r>
      <w:r w:rsidR="00F169EC">
        <w:t xml:space="preserve"> </w:t>
      </w:r>
      <w:r w:rsidR="00804633">
        <w:t>spreading</w:t>
      </w:r>
      <w:r w:rsidR="00F169EC">
        <w:t xml:space="preserve"> the purpose of assessment to the campus</w:t>
      </w:r>
      <w:r w:rsidR="00804633">
        <w:t xml:space="preserve">.  </w:t>
      </w:r>
      <w:r w:rsidR="00611F0A">
        <w:t xml:space="preserve">Continue to </w:t>
      </w:r>
      <w:r w:rsidR="005D6DDD">
        <w:t>deepen confidence and understanding of assessment work</w:t>
      </w:r>
      <w:r w:rsidR="00AC75EE">
        <w:t xml:space="preserve"> in committee members</w:t>
      </w:r>
      <w:r w:rsidR="005D6DDD">
        <w:t xml:space="preserve">.  </w:t>
      </w:r>
      <w:r w:rsidR="00AC75EE">
        <w:t>Update</w:t>
      </w:r>
      <w:r w:rsidR="00313DC9">
        <w:t xml:space="preserve"> the BBCC Assessment Handbook</w:t>
      </w:r>
      <w:r w:rsidR="00C81F81">
        <w:t>.  This has not been updated in over five years and much has changed.</w:t>
      </w:r>
      <w:r w:rsidR="0011223F">
        <w:t xml:space="preserve">  </w:t>
      </w:r>
      <w:r w:rsidR="005D6DDD">
        <w:t xml:space="preserve">It will also hopefully tie-in with </w:t>
      </w:r>
      <w:r w:rsidR="006D0F18">
        <w:t>deepening confidence and understanding of assessment work.</w:t>
      </w:r>
      <w:r w:rsidR="003A1EB2">
        <w:t xml:space="preserve">  </w:t>
      </w:r>
      <w:r w:rsidR="00DD5E73">
        <w:t xml:space="preserve">Analyze and provide potential updates </w:t>
      </w:r>
      <w:r w:rsidR="00D57098">
        <w:t>for</w:t>
      </w:r>
      <w:r w:rsidR="00DD5E73">
        <w:t xml:space="preserve"> the assessment sections of the </w:t>
      </w:r>
      <w:r w:rsidR="00D57098">
        <w:t>BBCC Program</w:t>
      </w:r>
      <w:r w:rsidR="00DD5E73">
        <w:t xml:space="preserve"> Audit</w:t>
      </w:r>
      <w:r w:rsidR="00294B72">
        <w:t>.</w:t>
      </w:r>
    </w:p>
    <w:p w14:paraId="0788764C" w14:textId="7DC2216C" w:rsidR="00583938" w:rsidRPr="00DE55E6" w:rsidRDefault="00C733AC" w:rsidP="00DE55E6">
      <w:r>
        <w:rPr>
          <w:b/>
          <w:bCs/>
        </w:rPr>
        <w:t>Ideas for</w:t>
      </w:r>
      <w:r w:rsidR="000C6DCA" w:rsidRPr="000C6DCA">
        <w:rPr>
          <w:b/>
          <w:bCs/>
        </w:rPr>
        <w:t xml:space="preserve"> </w:t>
      </w:r>
      <w:r w:rsidR="00C45F73" w:rsidRPr="000C6DCA">
        <w:rPr>
          <w:b/>
          <w:bCs/>
        </w:rPr>
        <w:t>P</w:t>
      </w:r>
      <w:r w:rsidR="000C6DCA" w:rsidRPr="000C6DCA">
        <w:rPr>
          <w:b/>
          <w:bCs/>
        </w:rPr>
        <w:t xml:space="preserve">rofessional </w:t>
      </w:r>
      <w:r w:rsidR="00C45F73" w:rsidRPr="000C6DCA">
        <w:rPr>
          <w:b/>
          <w:bCs/>
        </w:rPr>
        <w:t>D</w:t>
      </w:r>
      <w:r w:rsidR="000C6DCA" w:rsidRPr="000C6DCA">
        <w:rPr>
          <w:b/>
          <w:bCs/>
        </w:rPr>
        <w:t>evelopment:</w:t>
      </w:r>
      <w:r w:rsidR="002C62E5">
        <w:t xml:space="preserve"> </w:t>
      </w:r>
      <w:r w:rsidR="00763666">
        <w:t xml:space="preserve">Use time during In-Services and Week Zero to address the </w:t>
      </w:r>
      <w:r w:rsidR="002C62E5">
        <w:t>specific to needs of faculty</w:t>
      </w:r>
      <w:r w:rsidR="00CF16AE">
        <w:t xml:space="preserve"> and </w:t>
      </w:r>
      <w:r w:rsidR="002C62E5">
        <w:t>institution</w:t>
      </w:r>
      <w:r w:rsidR="00B72221">
        <w:t xml:space="preserve"> such as providing conti</w:t>
      </w:r>
      <w:r w:rsidR="00FC4880">
        <w:t>nued time for programs/departments to analyze data, reflect on feedback from previous assessments</w:t>
      </w:r>
      <w:r w:rsidR="003F18CB">
        <w:t xml:space="preserve"> and Program Audits, and have time to work with support from the </w:t>
      </w:r>
      <w:r>
        <w:t>assessment</w:t>
      </w:r>
      <w:r w:rsidR="003F18CB">
        <w:t xml:space="preserve"> committee</w:t>
      </w:r>
      <w:r>
        <w:t>, Deans, Director, and VP.</w:t>
      </w:r>
      <w:r w:rsidR="002C62E5">
        <w:t xml:space="preserve"> </w:t>
      </w:r>
      <w:r>
        <w:t xml:space="preserve"> </w:t>
      </w:r>
      <w:r w:rsidR="00AA25A5">
        <w:t>Continue</w:t>
      </w:r>
      <w:r w:rsidR="006724AB">
        <w:t xml:space="preserve"> offering a Year 2 Assessment </w:t>
      </w:r>
      <w:r w:rsidR="00AA25A5">
        <w:t xml:space="preserve">Summit to help newer faculty </w:t>
      </w:r>
      <w:r w:rsidR="00A57977">
        <w:t>better understand and engage with assessment work.</w:t>
      </w:r>
    </w:p>
    <w:sectPr w:rsidR="00583938" w:rsidRPr="00DE5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0B7BCE"/>
    <w:rsid w:val="0000017E"/>
    <w:rsid w:val="000011FF"/>
    <w:rsid w:val="00003C2A"/>
    <w:rsid w:val="000123BC"/>
    <w:rsid w:val="00017146"/>
    <w:rsid w:val="00020440"/>
    <w:rsid w:val="00025C1E"/>
    <w:rsid w:val="00030A98"/>
    <w:rsid w:val="00033275"/>
    <w:rsid w:val="0005258A"/>
    <w:rsid w:val="00052A6F"/>
    <w:rsid w:val="00053C44"/>
    <w:rsid w:val="000570FE"/>
    <w:rsid w:val="00062756"/>
    <w:rsid w:val="00062EFA"/>
    <w:rsid w:val="00065EB9"/>
    <w:rsid w:val="00066AC7"/>
    <w:rsid w:val="0007055E"/>
    <w:rsid w:val="000735A3"/>
    <w:rsid w:val="00073A52"/>
    <w:rsid w:val="00081859"/>
    <w:rsid w:val="000832EB"/>
    <w:rsid w:val="00085B0A"/>
    <w:rsid w:val="0009123E"/>
    <w:rsid w:val="000912B6"/>
    <w:rsid w:val="00091C4B"/>
    <w:rsid w:val="00096618"/>
    <w:rsid w:val="000A4A7D"/>
    <w:rsid w:val="000A5CAA"/>
    <w:rsid w:val="000A605D"/>
    <w:rsid w:val="000B0D5B"/>
    <w:rsid w:val="000B15DB"/>
    <w:rsid w:val="000B2211"/>
    <w:rsid w:val="000B2A3C"/>
    <w:rsid w:val="000C57BD"/>
    <w:rsid w:val="000C6DCA"/>
    <w:rsid w:val="000C769E"/>
    <w:rsid w:val="000F2312"/>
    <w:rsid w:val="000F2C88"/>
    <w:rsid w:val="000F34E8"/>
    <w:rsid w:val="000F65E6"/>
    <w:rsid w:val="00102843"/>
    <w:rsid w:val="00104CA9"/>
    <w:rsid w:val="0011223F"/>
    <w:rsid w:val="00114BC1"/>
    <w:rsid w:val="001221A8"/>
    <w:rsid w:val="00123939"/>
    <w:rsid w:val="00127FAD"/>
    <w:rsid w:val="00141D61"/>
    <w:rsid w:val="00142C0B"/>
    <w:rsid w:val="00152633"/>
    <w:rsid w:val="0015445A"/>
    <w:rsid w:val="00157687"/>
    <w:rsid w:val="00162298"/>
    <w:rsid w:val="001643BB"/>
    <w:rsid w:val="00165471"/>
    <w:rsid w:val="0016721A"/>
    <w:rsid w:val="00173601"/>
    <w:rsid w:val="00173955"/>
    <w:rsid w:val="001758C4"/>
    <w:rsid w:val="00185422"/>
    <w:rsid w:val="00190767"/>
    <w:rsid w:val="001926FF"/>
    <w:rsid w:val="001A0EC5"/>
    <w:rsid w:val="001A57AC"/>
    <w:rsid w:val="001B0861"/>
    <w:rsid w:val="001B133C"/>
    <w:rsid w:val="001B1FD2"/>
    <w:rsid w:val="001B2A0A"/>
    <w:rsid w:val="001B35E7"/>
    <w:rsid w:val="001C0E62"/>
    <w:rsid w:val="001C3C19"/>
    <w:rsid w:val="001D4BCD"/>
    <w:rsid w:val="001D5F06"/>
    <w:rsid w:val="001D6009"/>
    <w:rsid w:val="001D6C98"/>
    <w:rsid w:val="001E1C86"/>
    <w:rsid w:val="001E61F7"/>
    <w:rsid w:val="001E70A3"/>
    <w:rsid w:val="001F18EC"/>
    <w:rsid w:val="001F2DBA"/>
    <w:rsid w:val="001F6008"/>
    <w:rsid w:val="0020226A"/>
    <w:rsid w:val="00202F0A"/>
    <w:rsid w:val="002072B8"/>
    <w:rsid w:val="00212085"/>
    <w:rsid w:val="00212822"/>
    <w:rsid w:val="00214E1F"/>
    <w:rsid w:val="00222EE7"/>
    <w:rsid w:val="00223837"/>
    <w:rsid w:val="00230C45"/>
    <w:rsid w:val="00230EB2"/>
    <w:rsid w:val="00231456"/>
    <w:rsid w:val="00231D81"/>
    <w:rsid w:val="002364E8"/>
    <w:rsid w:val="00242E0A"/>
    <w:rsid w:val="00247331"/>
    <w:rsid w:val="00264D6B"/>
    <w:rsid w:val="002755E4"/>
    <w:rsid w:val="00275B32"/>
    <w:rsid w:val="00276AF6"/>
    <w:rsid w:val="00277383"/>
    <w:rsid w:val="002869D5"/>
    <w:rsid w:val="002915C5"/>
    <w:rsid w:val="00292B88"/>
    <w:rsid w:val="00294B72"/>
    <w:rsid w:val="002A1667"/>
    <w:rsid w:val="002A3158"/>
    <w:rsid w:val="002A38D1"/>
    <w:rsid w:val="002A5771"/>
    <w:rsid w:val="002A5CBA"/>
    <w:rsid w:val="002C62E5"/>
    <w:rsid w:val="002D1A9B"/>
    <w:rsid w:val="002D563A"/>
    <w:rsid w:val="002E02BF"/>
    <w:rsid w:val="002E3D8B"/>
    <w:rsid w:val="00301026"/>
    <w:rsid w:val="00312FF8"/>
    <w:rsid w:val="00313DC9"/>
    <w:rsid w:val="00317905"/>
    <w:rsid w:val="00325D21"/>
    <w:rsid w:val="0033074B"/>
    <w:rsid w:val="0033164B"/>
    <w:rsid w:val="0033386A"/>
    <w:rsid w:val="00334EDF"/>
    <w:rsid w:val="00335D4A"/>
    <w:rsid w:val="00343731"/>
    <w:rsid w:val="003612D3"/>
    <w:rsid w:val="00362262"/>
    <w:rsid w:val="00367137"/>
    <w:rsid w:val="0036726E"/>
    <w:rsid w:val="00367B22"/>
    <w:rsid w:val="00374819"/>
    <w:rsid w:val="003802D1"/>
    <w:rsid w:val="0038096B"/>
    <w:rsid w:val="00382A2A"/>
    <w:rsid w:val="00383EA4"/>
    <w:rsid w:val="00385481"/>
    <w:rsid w:val="00390792"/>
    <w:rsid w:val="003914F0"/>
    <w:rsid w:val="00392DB7"/>
    <w:rsid w:val="00393615"/>
    <w:rsid w:val="003A0825"/>
    <w:rsid w:val="003A1EB2"/>
    <w:rsid w:val="003A420B"/>
    <w:rsid w:val="003A45D9"/>
    <w:rsid w:val="003B7E39"/>
    <w:rsid w:val="003C0FBF"/>
    <w:rsid w:val="003C67B7"/>
    <w:rsid w:val="003D2107"/>
    <w:rsid w:val="003D617A"/>
    <w:rsid w:val="003D65E4"/>
    <w:rsid w:val="003E068A"/>
    <w:rsid w:val="003E26F4"/>
    <w:rsid w:val="003E2D02"/>
    <w:rsid w:val="003E3DC2"/>
    <w:rsid w:val="003E4174"/>
    <w:rsid w:val="003E689B"/>
    <w:rsid w:val="003F18CB"/>
    <w:rsid w:val="003F490F"/>
    <w:rsid w:val="003F7856"/>
    <w:rsid w:val="003F7AE4"/>
    <w:rsid w:val="00400148"/>
    <w:rsid w:val="00400301"/>
    <w:rsid w:val="00401CC8"/>
    <w:rsid w:val="0042447A"/>
    <w:rsid w:val="00430EA5"/>
    <w:rsid w:val="00434865"/>
    <w:rsid w:val="004402D7"/>
    <w:rsid w:val="004436F0"/>
    <w:rsid w:val="00444D47"/>
    <w:rsid w:val="004453B7"/>
    <w:rsid w:val="004559B7"/>
    <w:rsid w:val="00460D1A"/>
    <w:rsid w:val="00460F4E"/>
    <w:rsid w:val="00462334"/>
    <w:rsid w:val="00466AB4"/>
    <w:rsid w:val="00470754"/>
    <w:rsid w:val="00472927"/>
    <w:rsid w:val="004730A1"/>
    <w:rsid w:val="004734C1"/>
    <w:rsid w:val="00474252"/>
    <w:rsid w:val="00480C7D"/>
    <w:rsid w:val="00481083"/>
    <w:rsid w:val="00482191"/>
    <w:rsid w:val="00487C99"/>
    <w:rsid w:val="004971C2"/>
    <w:rsid w:val="004A2074"/>
    <w:rsid w:val="004A42DA"/>
    <w:rsid w:val="004B2663"/>
    <w:rsid w:val="004B43C0"/>
    <w:rsid w:val="004B50CC"/>
    <w:rsid w:val="004B56A5"/>
    <w:rsid w:val="004B67A2"/>
    <w:rsid w:val="004C66DD"/>
    <w:rsid w:val="004D26FF"/>
    <w:rsid w:val="004D747B"/>
    <w:rsid w:val="004E0792"/>
    <w:rsid w:val="004E108B"/>
    <w:rsid w:val="004E1A5E"/>
    <w:rsid w:val="004E3586"/>
    <w:rsid w:val="004E73AC"/>
    <w:rsid w:val="004E7FB4"/>
    <w:rsid w:val="004F0DCB"/>
    <w:rsid w:val="004F29BE"/>
    <w:rsid w:val="004F2DCF"/>
    <w:rsid w:val="004F3D06"/>
    <w:rsid w:val="004F69F5"/>
    <w:rsid w:val="004F6BAF"/>
    <w:rsid w:val="0050149D"/>
    <w:rsid w:val="00502392"/>
    <w:rsid w:val="005117BD"/>
    <w:rsid w:val="00514E9C"/>
    <w:rsid w:val="005165E3"/>
    <w:rsid w:val="00516F16"/>
    <w:rsid w:val="00523B00"/>
    <w:rsid w:val="00526D40"/>
    <w:rsid w:val="005274F3"/>
    <w:rsid w:val="005302CE"/>
    <w:rsid w:val="00530A63"/>
    <w:rsid w:val="00535604"/>
    <w:rsid w:val="005412A0"/>
    <w:rsid w:val="00541D69"/>
    <w:rsid w:val="005427F1"/>
    <w:rsid w:val="005428F5"/>
    <w:rsid w:val="00544C5F"/>
    <w:rsid w:val="00570DAA"/>
    <w:rsid w:val="00571C45"/>
    <w:rsid w:val="00573813"/>
    <w:rsid w:val="005764C7"/>
    <w:rsid w:val="00582219"/>
    <w:rsid w:val="00583938"/>
    <w:rsid w:val="005846ED"/>
    <w:rsid w:val="0058692A"/>
    <w:rsid w:val="00586B83"/>
    <w:rsid w:val="00592165"/>
    <w:rsid w:val="00594ED1"/>
    <w:rsid w:val="005974CF"/>
    <w:rsid w:val="005976BA"/>
    <w:rsid w:val="005978F4"/>
    <w:rsid w:val="005A0F46"/>
    <w:rsid w:val="005A1207"/>
    <w:rsid w:val="005A5512"/>
    <w:rsid w:val="005B057B"/>
    <w:rsid w:val="005B31C3"/>
    <w:rsid w:val="005B4F13"/>
    <w:rsid w:val="005B5467"/>
    <w:rsid w:val="005B547A"/>
    <w:rsid w:val="005B6DB7"/>
    <w:rsid w:val="005D2354"/>
    <w:rsid w:val="005D6340"/>
    <w:rsid w:val="005D673F"/>
    <w:rsid w:val="005D6DDD"/>
    <w:rsid w:val="005E17E5"/>
    <w:rsid w:val="005E793F"/>
    <w:rsid w:val="005F6B5E"/>
    <w:rsid w:val="00604EAC"/>
    <w:rsid w:val="0060697F"/>
    <w:rsid w:val="00607A01"/>
    <w:rsid w:val="00611F0A"/>
    <w:rsid w:val="00614AC7"/>
    <w:rsid w:val="00614B5F"/>
    <w:rsid w:val="00614DD5"/>
    <w:rsid w:val="006243E8"/>
    <w:rsid w:val="00632B8E"/>
    <w:rsid w:val="00632C32"/>
    <w:rsid w:val="00636037"/>
    <w:rsid w:val="006367BB"/>
    <w:rsid w:val="00637D39"/>
    <w:rsid w:val="00643947"/>
    <w:rsid w:val="0064487C"/>
    <w:rsid w:val="006514B4"/>
    <w:rsid w:val="00652EC5"/>
    <w:rsid w:val="006538C4"/>
    <w:rsid w:val="006611BE"/>
    <w:rsid w:val="006616C0"/>
    <w:rsid w:val="00663DA4"/>
    <w:rsid w:val="006724AB"/>
    <w:rsid w:val="006728F5"/>
    <w:rsid w:val="00677B82"/>
    <w:rsid w:val="00680CE8"/>
    <w:rsid w:val="0068330F"/>
    <w:rsid w:val="00685D71"/>
    <w:rsid w:val="00686B82"/>
    <w:rsid w:val="00687ED4"/>
    <w:rsid w:val="00691598"/>
    <w:rsid w:val="00692BB4"/>
    <w:rsid w:val="00695153"/>
    <w:rsid w:val="006A0E4A"/>
    <w:rsid w:val="006A6DFF"/>
    <w:rsid w:val="006A7F31"/>
    <w:rsid w:val="006B09B0"/>
    <w:rsid w:val="006B79C9"/>
    <w:rsid w:val="006C1BE5"/>
    <w:rsid w:val="006C418D"/>
    <w:rsid w:val="006D0F18"/>
    <w:rsid w:val="006D7047"/>
    <w:rsid w:val="006E4672"/>
    <w:rsid w:val="006E4C45"/>
    <w:rsid w:val="006F240A"/>
    <w:rsid w:val="006F338F"/>
    <w:rsid w:val="006F6435"/>
    <w:rsid w:val="00702EC2"/>
    <w:rsid w:val="00704B37"/>
    <w:rsid w:val="0070604D"/>
    <w:rsid w:val="00713608"/>
    <w:rsid w:val="007225D5"/>
    <w:rsid w:val="00722F68"/>
    <w:rsid w:val="007243B3"/>
    <w:rsid w:val="00727DEF"/>
    <w:rsid w:val="00730D6F"/>
    <w:rsid w:val="00731000"/>
    <w:rsid w:val="00731349"/>
    <w:rsid w:val="00731491"/>
    <w:rsid w:val="007340E0"/>
    <w:rsid w:val="00736A18"/>
    <w:rsid w:val="00740D39"/>
    <w:rsid w:val="00744E02"/>
    <w:rsid w:val="00750933"/>
    <w:rsid w:val="00763666"/>
    <w:rsid w:val="00765EFA"/>
    <w:rsid w:val="007732AD"/>
    <w:rsid w:val="00774D70"/>
    <w:rsid w:val="0077522A"/>
    <w:rsid w:val="007774E1"/>
    <w:rsid w:val="00780923"/>
    <w:rsid w:val="00784756"/>
    <w:rsid w:val="00791117"/>
    <w:rsid w:val="00791151"/>
    <w:rsid w:val="007929E2"/>
    <w:rsid w:val="00792DBE"/>
    <w:rsid w:val="0079413B"/>
    <w:rsid w:val="00797148"/>
    <w:rsid w:val="007972DB"/>
    <w:rsid w:val="007A3245"/>
    <w:rsid w:val="007A3978"/>
    <w:rsid w:val="007A409A"/>
    <w:rsid w:val="007B2FB4"/>
    <w:rsid w:val="007B5791"/>
    <w:rsid w:val="007C2D82"/>
    <w:rsid w:val="007C3A19"/>
    <w:rsid w:val="007C457F"/>
    <w:rsid w:val="007C56CC"/>
    <w:rsid w:val="007D25EF"/>
    <w:rsid w:val="007D3EC4"/>
    <w:rsid w:val="007D4CBB"/>
    <w:rsid w:val="007E06B7"/>
    <w:rsid w:val="007E5F67"/>
    <w:rsid w:val="007E67DF"/>
    <w:rsid w:val="007E67F7"/>
    <w:rsid w:val="007F103F"/>
    <w:rsid w:val="007F1343"/>
    <w:rsid w:val="007F37EE"/>
    <w:rsid w:val="007F5619"/>
    <w:rsid w:val="00801421"/>
    <w:rsid w:val="00804633"/>
    <w:rsid w:val="00815D6C"/>
    <w:rsid w:val="00817559"/>
    <w:rsid w:val="00825735"/>
    <w:rsid w:val="00825E2E"/>
    <w:rsid w:val="00832E52"/>
    <w:rsid w:val="008343F7"/>
    <w:rsid w:val="00834F84"/>
    <w:rsid w:val="00841632"/>
    <w:rsid w:val="008458D2"/>
    <w:rsid w:val="008522A2"/>
    <w:rsid w:val="00863D92"/>
    <w:rsid w:val="00865A1A"/>
    <w:rsid w:val="00866722"/>
    <w:rsid w:val="00867411"/>
    <w:rsid w:val="00871442"/>
    <w:rsid w:val="008727E6"/>
    <w:rsid w:val="00891058"/>
    <w:rsid w:val="00892403"/>
    <w:rsid w:val="00895E44"/>
    <w:rsid w:val="00896E2F"/>
    <w:rsid w:val="008A30A7"/>
    <w:rsid w:val="008A3CAE"/>
    <w:rsid w:val="008B13A3"/>
    <w:rsid w:val="008B604D"/>
    <w:rsid w:val="008B6307"/>
    <w:rsid w:val="008B715B"/>
    <w:rsid w:val="008C51A1"/>
    <w:rsid w:val="008D01D3"/>
    <w:rsid w:val="008D1BFA"/>
    <w:rsid w:val="008D2F07"/>
    <w:rsid w:val="008D5100"/>
    <w:rsid w:val="008D5640"/>
    <w:rsid w:val="008D643A"/>
    <w:rsid w:val="008E26CA"/>
    <w:rsid w:val="008E4657"/>
    <w:rsid w:val="008E5309"/>
    <w:rsid w:val="008F3E6B"/>
    <w:rsid w:val="008F419A"/>
    <w:rsid w:val="008F79D3"/>
    <w:rsid w:val="00906CE5"/>
    <w:rsid w:val="009079F8"/>
    <w:rsid w:val="0091246B"/>
    <w:rsid w:val="00915A3F"/>
    <w:rsid w:val="009247B6"/>
    <w:rsid w:val="00927C4A"/>
    <w:rsid w:val="00930750"/>
    <w:rsid w:val="0093188A"/>
    <w:rsid w:val="0093374A"/>
    <w:rsid w:val="00944B66"/>
    <w:rsid w:val="00947A21"/>
    <w:rsid w:val="0095356B"/>
    <w:rsid w:val="00953CEF"/>
    <w:rsid w:val="00954399"/>
    <w:rsid w:val="0095685B"/>
    <w:rsid w:val="00956C9C"/>
    <w:rsid w:val="0095701A"/>
    <w:rsid w:val="00961090"/>
    <w:rsid w:val="00962184"/>
    <w:rsid w:val="00962264"/>
    <w:rsid w:val="00971320"/>
    <w:rsid w:val="00971AFB"/>
    <w:rsid w:val="00975888"/>
    <w:rsid w:val="00977325"/>
    <w:rsid w:val="009855E3"/>
    <w:rsid w:val="00985723"/>
    <w:rsid w:val="0099055D"/>
    <w:rsid w:val="00991C75"/>
    <w:rsid w:val="00995120"/>
    <w:rsid w:val="009A04A3"/>
    <w:rsid w:val="009A05B5"/>
    <w:rsid w:val="009A0E86"/>
    <w:rsid w:val="009A37B2"/>
    <w:rsid w:val="009B19E9"/>
    <w:rsid w:val="009B2D63"/>
    <w:rsid w:val="009B46EB"/>
    <w:rsid w:val="009B4B1A"/>
    <w:rsid w:val="009C4EA6"/>
    <w:rsid w:val="009C5454"/>
    <w:rsid w:val="009C6C49"/>
    <w:rsid w:val="009D1940"/>
    <w:rsid w:val="009D19D8"/>
    <w:rsid w:val="009D1C61"/>
    <w:rsid w:val="009E7A24"/>
    <w:rsid w:val="009F273B"/>
    <w:rsid w:val="009F5566"/>
    <w:rsid w:val="00A01D99"/>
    <w:rsid w:val="00A047A8"/>
    <w:rsid w:val="00A05684"/>
    <w:rsid w:val="00A0709F"/>
    <w:rsid w:val="00A0744D"/>
    <w:rsid w:val="00A17869"/>
    <w:rsid w:val="00A214C3"/>
    <w:rsid w:val="00A2575C"/>
    <w:rsid w:val="00A32046"/>
    <w:rsid w:val="00A35AE5"/>
    <w:rsid w:val="00A45826"/>
    <w:rsid w:val="00A47799"/>
    <w:rsid w:val="00A47F62"/>
    <w:rsid w:val="00A52B43"/>
    <w:rsid w:val="00A55BA2"/>
    <w:rsid w:val="00A57977"/>
    <w:rsid w:val="00A6486A"/>
    <w:rsid w:val="00A73CA1"/>
    <w:rsid w:val="00A75651"/>
    <w:rsid w:val="00A81F1C"/>
    <w:rsid w:val="00A82397"/>
    <w:rsid w:val="00A87CCE"/>
    <w:rsid w:val="00A94164"/>
    <w:rsid w:val="00A97C19"/>
    <w:rsid w:val="00AA024F"/>
    <w:rsid w:val="00AA25A5"/>
    <w:rsid w:val="00AA2988"/>
    <w:rsid w:val="00AA2FF8"/>
    <w:rsid w:val="00AA483F"/>
    <w:rsid w:val="00AA50A9"/>
    <w:rsid w:val="00AA5298"/>
    <w:rsid w:val="00AC050A"/>
    <w:rsid w:val="00AC59B9"/>
    <w:rsid w:val="00AC75EE"/>
    <w:rsid w:val="00AD162E"/>
    <w:rsid w:val="00AD33FA"/>
    <w:rsid w:val="00AD5F01"/>
    <w:rsid w:val="00AE147F"/>
    <w:rsid w:val="00AE2510"/>
    <w:rsid w:val="00AE7C5D"/>
    <w:rsid w:val="00AF044E"/>
    <w:rsid w:val="00AF0719"/>
    <w:rsid w:val="00AF5528"/>
    <w:rsid w:val="00B140D4"/>
    <w:rsid w:val="00B16DD4"/>
    <w:rsid w:val="00B16EAB"/>
    <w:rsid w:val="00B176B2"/>
    <w:rsid w:val="00B3534D"/>
    <w:rsid w:val="00B429E5"/>
    <w:rsid w:val="00B475DD"/>
    <w:rsid w:val="00B518B0"/>
    <w:rsid w:val="00B52528"/>
    <w:rsid w:val="00B55115"/>
    <w:rsid w:val="00B55518"/>
    <w:rsid w:val="00B56D66"/>
    <w:rsid w:val="00B625B9"/>
    <w:rsid w:val="00B64E8D"/>
    <w:rsid w:val="00B650BD"/>
    <w:rsid w:val="00B6773C"/>
    <w:rsid w:val="00B7024E"/>
    <w:rsid w:val="00B718C7"/>
    <w:rsid w:val="00B71FD0"/>
    <w:rsid w:val="00B72221"/>
    <w:rsid w:val="00B773C4"/>
    <w:rsid w:val="00B774ED"/>
    <w:rsid w:val="00B851CD"/>
    <w:rsid w:val="00B8546B"/>
    <w:rsid w:val="00B86F09"/>
    <w:rsid w:val="00B9419B"/>
    <w:rsid w:val="00BA1514"/>
    <w:rsid w:val="00BA2279"/>
    <w:rsid w:val="00BA6579"/>
    <w:rsid w:val="00BA73B9"/>
    <w:rsid w:val="00BB1970"/>
    <w:rsid w:val="00BB3AF9"/>
    <w:rsid w:val="00BB4F59"/>
    <w:rsid w:val="00BB6688"/>
    <w:rsid w:val="00BD4A14"/>
    <w:rsid w:val="00BD5AC0"/>
    <w:rsid w:val="00BE3D0E"/>
    <w:rsid w:val="00BF0462"/>
    <w:rsid w:val="00BF0F83"/>
    <w:rsid w:val="00BF21A0"/>
    <w:rsid w:val="00BF2B70"/>
    <w:rsid w:val="00BF35FF"/>
    <w:rsid w:val="00BF78CF"/>
    <w:rsid w:val="00BF7BBC"/>
    <w:rsid w:val="00BF7F37"/>
    <w:rsid w:val="00C017FE"/>
    <w:rsid w:val="00C03EE7"/>
    <w:rsid w:val="00C0407E"/>
    <w:rsid w:val="00C12D3B"/>
    <w:rsid w:val="00C139CD"/>
    <w:rsid w:val="00C1713A"/>
    <w:rsid w:val="00C23605"/>
    <w:rsid w:val="00C25742"/>
    <w:rsid w:val="00C33521"/>
    <w:rsid w:val="00C34F70"/>
    <w:rsid w:val="00C400E2"/>
    <w:rsid w:val="00C40DE1"/>
    <w:rsid w:val="00C42866"/>
    <w:rsid w:val="00C4311C"/>
    <w:rsid w:val="00C4317E"/>
    <w:rsid w:val="00C435F3"/>
    <w:rsid w:val="00C45F73"/>
    <w:rsid w:val="00C57686"/>
    <w:rsid w:val="00C624EB"/>
    <w:rsid w:val="00C62BB3"/>
    <w:rsid w:val="00C62EC7"/>
    <w:rsid w:val="00C646DE"/>
    <w:rsid w:val="00C6641E"/>
    <w:rsid w:val="00C67511"/>
    <w:rsid w:val="00C72F4E"/>
    <w:rsid w:val="00C733AC"/>
    <w:rsid w:val="00C767BC"/>
    <w:rsid w:val="00C76A35"/>
    <w:rsid w:val="00C771D9"/>
    <w:rsid w:val="00C81F81"/>
    <w:rsid w:val="00C826D1"/>
    <w:rsid w:val="00C97853"/>
    <w:rsid w:val="00C97D30"/>
    <w:rsid w:val="00CA0E5C"/>
    <w:rsid w:val="00CA33BD"/>
    <w:rsid w:val="00CA65DC"/>
    <w:rsid w:val="00CC096C"/>
    <w:rsid w:val="00CC1321"/>
    <w:rsid w:val="00CC2EB6"/>
    <w:rsid w:val="00CC2F3D"/>
    <w:rsid w:val="00CD1ECD"/>
    <w:rsid w:val="00CD2433"/>
    <w:rsid w:val="00CD26FB"/>
    <w:rsid w:val="00CD275B"/>
    <w:rsid w:val="00CD54D6"/>
    <w:rsid w:val="00CD54DD"/>
    <w:rsid w:val="00CE1866"/>
    <w:rsid w:val="00CE2E82"/>
    <w:rsid w:val="00CE6591"/>
    <w:rsid w:val="00CF1555"/>
    <w:rsid w:val="00CF16AE"/>
    <w:rsid w:val="00CF26D2"/>
    <w:rsid w:val="00CF2DE7"/>
    <w:rsid w:val="00D10B21"/>
    <w:rsid w:val="00D11802"/>
    <w:rsid w:val="00D1511E"/>
    <w:rsid w:val="00D17D3F"/>
    <w:rsid w:val="00D236B4"/>
    <w:rsid w:val="00D25E20"/>
    <w:rsid w:val="00D26AAE"/>
    <w:rsid w:val="00D27E23"/>
    <w:rsid w:val="00D41A9F"/>
    <w:rsid w:val="00D445BE"/>
    <w:rsid w:val="00D460A0"/>
    <w:rsid w:val="00D50AB9"/>
    <w:rsid w:val="00D515A8"/>
    <w:rsid w:val="00D5233D"/>
    <w:rsid w:val="00D53A1F"/>
    <w:rsid w:val="00D546EF"/>
    <w:rsid w:val="00D5676F"/>
    <w:rsid w:val="00D57098"/>
    <w:rsid w:val="00D57728"/>
    <w:rsid w:val="00D61E06"/>
    <w:rsid w:val="00D64057"/>
    <w:rsid w:val="00D72317"/>
    <w:rsid w:val="00D7340A"/>
    <w:rsid w:val="00D756DA"/>
    <w:rsid w:val="00D75D7C"/>
    <w:rsid w:val="00D77796"/>
    <w:rsid w:val="00D846FA"/>
    <w:rsid w:val="00D85FDE"/>
    <w:rsid w:val="00D87D66"/>
    <w:rsid w:val="00D907FD"/>
    <w:rsid w:val="00D9081F"/>
    <w:rsid w:val="00D910D7"/>
    <w:rsid w:val="00D94D53"/>
    <w:rsid w:val="00D9553E"/>
    <w:rsid w:val="00D9633B"/>
    <w:rsid w:val="00DA187D"/>
    <w:rsid w:val="00DA5E73"/>
    <w:rsid w:val="00DB000C"/>
    <w:rsid w:val="00DB0CC6"/>
    <w:rsid w:val="00DB4B7F"/>
    <w:rsid w:val="00DC1F9C"/>
    <w:rsid w:val="00DC238E"/>
    <w:rsid w:val="00DC4A94"/>
    <w:rsid w:val="00DD2995"/>
    <w:rsid w:val="00DD2B6E"/>
    <w:rsid w:val="00DD5E73"/>
    <w:rsid w:val="00DD7A88"/>
    <w:rsid w:val="00DE2DE1"/>
    <w:rsid w:val="00DE55E6"/>
    <w:rsid w:val="00DE7D26"/>
    <w:rsid w:val="00DF02E1"/>
    <w:rsid w:val="00DF2052"/>
    <w:rsid w:val="00DF2DB0"/>
    <w:rsid w:val="00DF5948"/>
    <w:rsid w:val="00DF620C"/>
    <w:rsid w:val="00DF760E"/>
    <w:rsid w:val="00E04155"/>
    <w:rsid w:val="00E0655F"/>
    <w:rsid w:val="00E12529"/>
    <w:rsid w:val="00E2397B"/>
    <w:rsid w:val="00E24363"/>
    <w:rsid w:val="00E255BD"/>
    <w:rsid w:val="00E267DF"/>
    <w:rsid w:val="00E27DB5"/>
    <w:rsid w:val="00E31F68"/>
    <w:rsid w:val="00E3549C"/>
    <w:rsid w:val="00E41438"/>
    <w:rsid w:val="00E500EA"/>
    <w:rsid w:val="00E503BB"/>
    <w:rsid w:val="00E50B8C"/>
    <w:rsid w:val="00E64E37"/>
    <w:rsid w:val="00E652E1"/>
    <w:rsid w:val="00E70854"/>
    <w:rsid w:val="00E72821"/>
    <w:rsid w:val="00E74F86"/>
    <w:rsid w:val="00E80A0B"/>
    <w:rsid w:val="00E81C93"/>
    <w:rsid w:val="00E8205C"/>
    <w:rsid w:val="00E821E8"/>
    <w:rsid w:val="00E83E45"/>
    <w:rsid w:val="00E83FF2"/>
    <w:rsid w:val="00E84B70"/>
    <w:rsid w:val="00E857DE"/>
    <w:rsid w:val="00E9228B"/>
    <w:rsid w:val="00E92E5C"/>
    <w:rsid w:val="00E968F1"/>
    <w:rsid w:val="00E97185"/>
    <w:rsid w:val="00E97312"/>
    <w:rsid w:val="00EA2F2E"/>
    <w:rsid w:val="00EA38C5"/>
    <w:rsid w:val="00EB0F92"/>
    <w:rsid w:val="00EB2D7A"/>
    <w:rsid w:val="00EB52AD"/>
    <w:rsid w:val="00EB778F"/>
    <w:rsid w:val="00EC22B6"/>
    <w:rsid w:val="00EC3B04"/>
    <w:rsid w:val="00EC5906"/>
    <w:rsid w:val="00EC5F5E"/>
    <w:rsid w:val="00EC7E39"/>
    <w:rsid w:val="00ED15C3"/>
    <w:rsid w:val="00EE546A"/>
    <w:rsid w:val="00EF1218"/>
    <w:rsid w:val="00EF7E0F"/>
    <w:rsid w:val="00F020F9"/>
    <w:rsid w:val="00F0324F"/>
    <w:rsid w:val="00F10BEC"/>
    <w:rsid w:val="00F13931"/>
    <w:rsid w:val="00F14841"/>
    <w:rsid w:val="00F169EC"/>
    <w:rsid w:val="00F20D83"/>
    <w:rsid w:val="00F350B2"/>
    <w:rsid w:val="00F36BA5"/>
    <w:rsid w:val="00F37E1F"/>
    <w:rsid w:val="00F40271"/>
    <w:rsid w:val="00F46644"/>
    <w:rsid w:val="00F46AC0"/>
    <w:rsid w:val="00F57960"/>
    <w:rsid w:val="00F67325"/>
    <w:rsid w:val="00F67A84"/>
    <w:rsid w:val="00F731F5"/>
    <w:rsid w:val="00F73523"/>
    <w:rsid w:val="00F77791"/>
    <w:rsid w:val="00F80020"/>
    <w:rsid w:val="00F82A37"/>
    <w:rsid w:val="00F85AA4"/>
    <w:rsid w:val="00F86265"/>
    <w:rsid w:val="00F9714C"/>
    <w:rsid w:val="00FA03F1"/>
    <w:rsid w:val="00FA0866"/>
    <w:rsid w:val="00FA0916"/>
    <w:rsid w:val="00FA2110"/>
    <w:rsid w:val="00FA34F7"/>
    <w:rsid w:val="00FA4281"/>
    <w:rsid w:val="00FB20FB"/>
    <w:rsid w:val="00FB2150"/>
    <w:rsid w:val="00FB7F90"/>
    <w:rsid w:val="00FC09D5"/>
    <w:rsid w:val="00FC4743"/>
    <w:rsid w:val="00FC4880"/>
    <w:rsid w:val="00FC6C43"/>
    <w:rsid w:val="00FC7CD4"/>
    <w:rsid w:val="00FD048B"/>
    <w:rsid w:val="00FE0581"/>
    <w:rsid w:val="00FE2138"/>
    <w:rsid w:val="00FE53A9"/>
    <w:rsid w:val="00FF0FEE"/>
    <w:rsid w:val="00FF6EB8"/>
    <w:rsid w:val="00FF7A44"/>
    <w:rsid w:val="035CFC91"/>
    <w:rsid w:val="0390503C"/>
    <w:rsid w:val="08569942"/>
    <w:rsid w:val="08AFAF37"/>
    <w:rsid w:val="09A1AF2B"/>
    <w:rsid w:val="0A56A4A3"/>
    <w:rsid w:val="0C3A1B04"/>
    <w:rsid w:val="0CE86219"/>
    <w:rsid w:val="131AE306"/>
    <w:rsid w:val="154A4A17"/>
    <w:rsid w:val="17C2090F"/>
    <w:rsid w:val="1885ED83"/>
    <w:rsid w:val="1CBE0B75"/>
    <w:rsid w:val="1DA3C0EA"/>
    <w:rsid w:val="1F1577B9"/>
    <w:rsid w:val="1FDFB579"/>
    <w:rsid w:val="22AF6626"/>
    <w:rsid w:val="2714FD10"/>
    <w:rsid w:val="276EA22E"/>
    <w:rsid w:val="27EE3E09"/>
    <w:rsid w:val="2BBEF039"/>
    <w:rsid w:val="2C6A25DD"/>
    <w:rsid w:val="320B7BCE"/>
    <w:rsid w:val="32392DF1"/>
    <w:rsid w:val="35427EFC"/>
    <w:rsid w:val="36F2E678"/>
    <w:rsid w:val="373BA701"/>
    <w:rsid w:val="3AAE6568"/>
    <w:rsid w:val="3B442C68"/>
    <w:rsid w:val="3C29EAE4"/>
    <w:rsid w:val="3E882939"/>
    <w:rsid w:val="3EFF858E"/>
    <w:rsid w:val="3F081F78"/>
    <w:rsid w:val="45A6D48F"/>
    <w:rsid w:val="476305C5"/>
    <w:rsid w:val="48632CB9"/>
    <w:rsid w:val="49F68BF7"/>
    <w:rsid w:val="4A0B5449"/>
    <w:rsid w:val="4C54A7ED"/>
    <w:rsid w:val="4CDD17E1"/>
    <w:rsid w:val="4DF6C673"/>
    <w:rsid w:val="4E8B73C9"/>
    <w:rsid w:val="50A5459A"/>
    <w:rsid w:val="523B6488"/>
    <w:rsid w:val="5404F7B6"/>
    <w:rsid w:val="54A26F40"/>
    <w:rsid w:val="5571BCC8"/>
    <w:rsid w:val="55EECD22"/>
    <w:rsid w:val="578D7688"/>
    <w:rsid w:val="5A79B897"/>
    <w:rsid w:val="5CB1EB3D"/>
    <w:rsid w:val="5D8AA32C"/>
    <w:rsid w:val="62A41066"/>
    <w:rsid w:val="63D377CF"/>
    <w:rsid w:val="65896504"/>
    <w:rsid w:val="66371C4B"/>
    <w:rsid w:val="669B2E66"/>
    <w:rsid w:val="6BD4B7CE"/>
    <w:rsid w:val="6FF9CFBC"/>
    <w:rsid w:val="70401700"/>
    <w:rsid w:val="72785A17"/>
    <w:rsid w:val="79215224"/>
    <w:rsid w:val="7A5137C5"/>
    <w:rsid w:val="7B27DD4D"/>
    <w:rsid w:val="7EF6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7BCE"/>
  <w15:chartTrackingRefBased/>
  <w15:docId w15:val="{63855F20-DF26-471A-8940-285565C4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sid w:val="00062756"/>
    <w:rPr>
      <w:sz w:val="16"/>
      <w:szCs w:val="16"/>
    </w:rPr>
  </w:style>
  <w:style w:type="paragraph" w:styleId="CommentText">
    <w:name w:val="annotation text"/>
    <w:basedOn w:val="Normal"/>
    <w:link w:val="CommentTextChar"/>
    <w:uiPriority w:val="99"/>
    <w:unhideWhenUsed/>
    <w:rsid w:val="00062756"/>
    <w:pPr>
      <w:spacing w:line="240" w:lineRule="auto"/>
    </w:pPr>
    <w:rPr>
      <w:sz w:val="20"/>
      <w:szCs w:val="20"/>
    </w:rPr>
  </w:style>
  <w:style w:type="character" w:customStyle="1" w:styleId="CommentTextChar">
    <w:name w:val="Comment Text Char"/>
    <w:basedOn w:val="DefaultParagraphFont"/>
    <w:link w:val="CommentText"/>
    <w:uiPriority w:val="99"/>
    <w:rsid w:val="00062756"/>
    <w:rPr>
      <w:sz w:val="20"/>
      <w:szCs w:val="20"/>
    </w:rPr>
  </w:style>
  <w:style w:type="paragraph" w:styleId="CommentSubject">
    <w:name w:val="annotation subject"/>
    <w:basedOn w:val="CommentText"/>
    <w:next w:val="CommentText"/>
    <w:link w:val="CommentSubjectChar"/>
    <w:uiPriority w:val="99"/>
    <w:semiHidden/>
    <w:unhideWhenUsed/>
    <w:rsid w:val="00062756"/>
    <w:rPr>
      <w:b/>
      <w:bCs/>
    </w:rPr>
  </w:style>
  <w:style w:type="character" w:customStyle="1" w:styleId="CommentSubjectChar">
    <w:name w:val="Comment Subject Char"/>
    <w:basedOn w:val="CommentTextChar"/>
    <w:link w:val="CommentSubject"/>
    <w:uiPriority w:val="99"/>
    <w:semiHidden/>
    <w:rsid w:val="00062756"/>
    <w:rPr>
      <w:b/>
      <w:bCs/>
      <w:sz w:val="20"/>
      <w:szCs w:val="20"/>
    </w:rPr>
  </w:style>
  <w:style w:type="paragraph" w:styleId="BalloonText">
    <w:name w:val="Balloon Text"/>
    <w:basedOn w:val="Normal"/>
    <w:link w:val="BalloonTextChar"/>
    <w:uiPriority w:val="99"/>
    <w:semiHidden/>
    <w:unhideWhenUsed/>
    <w:rsid w:val="00062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56"/>
    <w:rPr>
      <w:rFonts w:ascii="Segoe UI" w:hAnsi="Segoe UI" w:cs="Segoe UI"/>
      <w:sz w:val="18"/>
      <w:szCs w:val="18"/>
    </w:rPr>
  </w:style>
  <w:style w:type="character" w:customStyle="1" w:styleId="normaltextrun">
    <w:name w:val="normaltextrun"/>
    <w:basedOn w:val="DefaultParagraphFont"/>
    <w:rsid w:val="009F273B"/>
  </w:style>
  <w:style w:type="character" w:customStyle="1" w:styleId="findhit">
    <w:name w:val="findhit"/>
    <w:basedOn w:val="DefaultParagraphFont"/>
    <w:rsid w:val="009F273B"/>
  </w:style>
  <w:style w:type="paragraph" w:styleId="TOCHeading">
    <w:name w:val="TOC Heading"/>
    <w:basedOn w:val="Heading1"/>
    <w:next w:val="Normal"/>
    <w:uiPriority w:val="39"/>
    <w:unhideWhenUsed/>
    <w:qFormat/>
    <w:rsid w:val="00C4317E"/>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C4317E"/>
    <w:pPr>
      <w:spacing w:after="100"/>
    </w:pPr>
  </w:style>
  <w:style w:type="paragraph" w:styleId="TOC2">
    <w:name w:val="toc 2"/>
    <w:basedOn w:val="Normal"/>
    <w:next w:val="Normal"/>
    <w:autoRedefine/>
    <w:uiPriority w:val="39"/>
    <w:unhideWhenUsed/>
    <w:rsid w:val="00C4317E"/>
    <w:pPr>
      <w:spacing w:after="100"/>
      <w:ind w:left="240"/>
    </w:pPr>
  </w:style>
  <w:style w:type="character" w:styleId="Hyperlink">
    <w:name w:val="Hyperlink"/>
    <w:basedOn w:val="DefaultParagraphFont"/>
    <w:uiPriority w:val="99"/>
    <w:unhideWhenUsed/>
    <w:rsid w:val="00C4317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4918">
      <w:bodyDiv w:val="1"/>
      <w:marLeft w:val="0"/>
      <w:marRight w:val="0"/>
      <w:marTop w:val="0"/>
      <w:marBottom w:val="0"/>
      <w:divBdr>
        <w:top w:val="none" w:sz="0" w:space="0" w:color="auto"/>
        <w:left w:val="none" w:sz="0" w:space="0" w:color="auto"/>
        <w:bottom w:val="none" w:sz="0" w:space="0" w:color="auto"/>
        <w:right w:val="none" w:sz="0" w:space="0" w:color="auto"/>
      </w:divBdr>
    </w:div>
    <w:div w:id="7427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4240A1C9B3B4A9EC9CD6D5E2D16E0" ma:contentTypeVersion="6" ma:contentTypeDescription="Create a new document." ma:contentTypeScope="" ma:versionID="95eb522e01cbcafc63069d73aa4217b4">
  <xsd:schema xmlns:xsd="http://www.w3.org/2001/XMLSchema" xmlns:xs="http://www.w3.org/2001/XMLSchema" xmlns:p="http://schemas.microsoft.com/office/2006/metadata/properties" xmlns:ns2="2d1431c5-1a7d-4907-9911-f715a48bab68" xmlns:ns3="eae8a03f-9791-47c9-921e-d9bd03885fcb" targetNamespace="http://schemas.microsoft.com/office/2006/metadata/properties" ma:root="true" ma:fieldsID="8e705573319ac59d6bdf9b4e0b45a6f8" ns2:_="" ns3:_="">
    <xsd:import namespace="2d1431c5-1a7d-4907-9911-f715a48bab68"/>
    <xsd:import namespace="eae8a03f-9791-47c9-921e-d9bd03885f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431c5-1a7d-4907-9911-f715a48b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e8a03f-9791-47c9-921e-d9bd03885f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D4896-8BAD-4D94-ACA7-1F6993CF49AE}">
  <ds:schemaRefs>
    <ds:schemaRef ds:uri="http://schemas.openxmlformats.org/officeDocument/2006/bibliography"/>
  </ds:schemaRefs>
</ds:datastoreItem>
</file>

<file path=customXml/itemProps2.xml><?xml version="1.0" encoding="utf-8"?>
<ds:datastoreItem xmlns:ds="http://schemas.openxmlformats.org/officeDocument/2006/customXml" ds:itemID="{85E82CF3-82A6-4CC6-A7A2-17A94AA7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431c5-1a7d-4907-9911-f715a48bab68"/>
    <ds:schemaRef ds:uri="eae8a03f-9791-47c9-921e-d9bd03885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F7776-D99E-4AA6-A303-A980496C9D4D}">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purl.org/dc/dcmitype/"/>
    <ds:schemaRef ds:uri="eae8a03f-9791-47c9-921e-d9bd03885fcb"/>
    <ds:schemaRef ds:uri="2d1431c5-1a7d-4907-9911-f715a48bab68"/>
  </ds:schemaRefs>
</ds:datastoreItem>
</file>

<file path=customXml/itemProps4.xml><?xml version="1.0" encoding="utf-8"?>
<ds:datastoreItem xmlns:ds="http://schemas.openxmlformats.org/officeDocument/2006/customXml" ds:itemID="{6EE0A41E-D052-4635-A2A2-7F3808085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2232</Words>
  <Characters>12728</Characters>
  <Application>Microsoft Office Word</Application>
  <DocSecurity>0</DocSecurity>
  <Lines>106</Lines>
  <Paragraphs>29</Paragraphs>
  <ScaleCrop>false</ScaleCrop>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Mayhugh, David</dc:creator>
  <cp:keywords/>
  <dc:description/>
  <cp:lastModifiedBy>Mayhugh, David</cp:lastModifiedBy>
  <cp:revision>732</cp:revision>
  <dcterms:created xsi:type="dcterms:W3CDTF">2024-07-10T18:07:00Z</dcterms:created>
  <dcterms:modified xsi:type="dcterms:W3CDTF">2025-09-03T19:02:00Z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0x010100DF84240A1C9B3B4A9EC9CD6D5E2D16E0</vt:lpwstr>
  </property>
</Properties>
</file>